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4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6"/>
        <w:gridCol w:w="1707"/>
        <w:gridCol w:w="1080"/>
        <w:gridCol w:w="1476"/>
        <w:gridCol w:w="1176"/>
        <w:gridCol w:w="2851"/>
        <w:gridCol w:w="1379"/>
        <w:gridCol w:w="3150"/>
        <w:gridCol w:w="7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14371" w:type="dxa"/>
            <w:gridSpan w:val="9"/>
            <w:tcBorders>
              <w:top w:val="nil"/>
              <w:left w:val="nil"/>
              <w:bottom w:val="nil"/>
              <w:right w:val="nil"/>
            </w:tcBorders>
            <w:noWrap/>
            <w:vAlign w:val="center"/>
          </w:tcPr>
          <w:p>
            <w:pPr>
              <w:keepNext w:val="0"/>
              <w:keepLines w:val="0"/>
              <w:widowControl/>
              <w:suppressLineNumbers w:val="0"/>
              <w:ind w:left="-1760" w:leftChars="-800" w:firstLine="0" w:firstLineChars="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 xml:space="preserve">       尼勒克县市监局2026年执法检查计划表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39" w:type="dxa"/>
            <w:gridSpan w:val="4"/>
            <w:tcBorders>
              <w:top w:val="nil"/>
              <w:left w:val="nil"/>
              <w:bottom w:val="nil"/>
              <w:right w:val="nil"/>
            </w:tcBorders>
            <w:noWrap/>
            <w:vAlign w:val="center"/>
          </w:tcPr>
          <w:p>
            <w:pPr>
              <w:rPr>
                <w:rFonts w:hint="eastAsia" w:ascii="方正仿宋简体" w:hAnsi="方正仿宋简体" w:eastAsia="方正仿宋简体" w:cs="方正仿宋简体"/>
                <w:i w:val="0"/>
                <w:color w:val="000000"/>
                <w:sz w:val="28"/>
                <w:szCs w:val="28"/>
                <w:u w:val="none"/>
              </w:rPr>
            </w:pPr>
          </w:p>
        </w:tc>
        <w:tc>
          <w:tcPr>
            <w:tcW w:w="1176" w:type="dxa"/>
            <w:tcBorders>
              <w:top w:val="nil"/>
              <w:left w:val="nil"/>
              <w:bottom w:val="nil"/>
              <w:right w:val="nil"/>
            </w:tcBorders>
            <w:noWrap/>
            <w:vAlign w:val="center"/>
          </w:tcPr>
          <w:p>
            <w:pPr>
              <w:rPr>
                <w:rFonts w:hint="eastAsia" w:ascii="方正仿宋简体" w:hAnsi="方正仿宋简体" w:eastAsia="方正仿宋简体" w:cs="方正仿宋简体"/>
                <w:i w:val="0"/>
                <w:color w:val="000000"/>
                <w:sz w:val="28"/>
                <w:szCs w:val="28"/>
                <w:u w:val="none"/>
              </w:rPr>
            </w:pPr>
          </w:p>
        </w:tc>
        <w:tc>
          <w:tcPr>
            <w:tcW w:w="2851" w:type="dxa"/>
            <w:tcBorders>
              <w:top w:val="nil"/>
              <w:left w:val="nil"/>
              <w:bottom w:val="nil"/>
              <w:right w:val="nil"/>
            </w:tcBorders>
            <w:noWrap/>
            <w:vAlign w:val="center"/>
          </w:tcPr>
          <w:p>
            <w:pPr>
              <w:rPr>
                <w:rFonts w:hint="eastAsia" w:ascii="方正仿宋简体" w:hAnsi="方正仿宋简体" w:eastAsia="方正仿宋简体" w:cs="方正仿宋简体"/>
                <w:i w:val="0"/>
                <w:color w:val="000000"/>
                <w:sz w:val="28"/>
                <w:szCs w:val="28"/>
                <w:u w:val="none"/>
              </w:rPr>
            </w:pPr>
          </w:p>
        </w:tc>
        <w:tc>
          <w:tcPr>
            <w:tcW w:w="4529" w:type="dxa"/>
            <w:gridSpan w:val="2"/>
            <w:tcBorders>
              <w:top w:val="nil"/>
              <w:left w:val="nil"/>
              <w:bottom w:val="nil"/>
              <w:right w:val="nil"/>
            </w:tcBorders>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color w:val="000000"/>
                <w:sz w:val="28"/>
                <w:szCs w:val="28"/>
                <w:u w:val="none"/>
              </w:rPr>
            </w:pPr>
          </w:p>
        </w:tc>
        <w:tc>
          <w:tcPr>
            <w:tcW w:w="776" w:type="dxa"/>
            <w:tcBorders>
              <w:top w:val="nil"/>
              <w:left w:val="nil"/>
              <w:bottom w:val="nil"/>
              <w:right w:val="nil"/>
            </w:tcBorders>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方正黑体简体" w:hAnsi="方正黑体简体" w:eastAsia="方正黑体简体" w:cs="方正黑体简体"/>
                <w:i w:val="0"/>
                <w:color w:val="000000"/>
                <w:sz w:val="28"/>
                <w:szCs w:val="28"/>
                <w:u w:val="none"/>
              </w:rPr>
            </w:pPr>
            <w:r>
              <w:rPr>
                <w:rFonts w:hint="eastAsia" w:ascii="方正黑体简体" w:hAnsi="方正黑体简体" w:eastAsia="方正黑体简体" w:cs="方正黑体简体"/>
                <w:i w:val="0"/>
                <w:color w:val="000000"/>
                <w:kern w:val="0"/>
                <w:sz w:val="28"/>
                <w:szCs w:val="28"/>
                <w:u w:val="none"/>
                <w:lang w:val="en-US" w:eastAsia="zh-CN" w:bidi="ar"/>
              </w:rPr>
              <w:t>序号</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黑体简体" w:hAnsi="方正黑体简体" w:eastAsia="方正黑体简体" w:cs="方正黑体简体"/>
                <w:i w:val="0"/>
                <w:color w:val="000000"/>
                <w:sz w:val="28"/>
                <w:szCs w:val="28"/>
                <w:u w:val="none"/>
              </w:rPr>
            </w:pPr>
            <w:r>
              <w:rPr>
                <w:rFonts w:hint="eastAsia" w:ascii="方正黑体简体" w:hAnsi="方正黑体简体" w:eastAsia="方正黑体简体" w:cs="方正黑体简体"/>
                <w:i w:val="0"/>
                <w:color w:val="000000"/>
                <w:kern w:val="0"/>
                <w:sz w:val="28"/>
                <w:szCs w:val="28"/>
                <w:u w:val="none"/>
                <w:lang w:val="en-US" w:eastAsia="zh-CN" w:bidi="ar"/>
              </w:rPr>
              <w:t>名称</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黑体简体" w:hAnsi="方正黑体简体" w:eastAsia="方正黑体简体" w:cs="方正黑体简体"/>
                <w:i w:val="0"/>
                <w:color w:val="000000"/>
                <w:sz w:val="28"/>
                <w:szCs w:val="28"/>
                <w:u w:val="none"/>
              </w:rPr>
            </w:pPr>
            <w:r>
              <w:rPr>
                <w:rFonts w:hint="eastAsia" w:ascii="方正黑体简体" w:hAnsi="方正黑体简体" w:eastAsia="方正黑体简体" w:cs="方正黑体简体"/>
                <w:i w:val="0"/>
                <w:color w:val="000000"/>
                <w:kern w:val="0"/>
                <w:sz w:val="28"/>
                <w:szCs w:val="28"/>
                <w:u w:val="none"/>
                <w:lang w:val="en-US" w:eastAsia="zh-CN" w:bidi="ar"/>
              </w:rPr>
              <w:t>类别</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黑体简体" w:hAnsi="方正黑体简体" w:eastAsia="方正黑体简体" w:cs="方正黑体简体"/>
                <w:i w:val="0"/>
                <w:color w:val="000000"/>
                <w:sz w:val="28"/>
                <w:szCs w:val="28"/>
                <w:u w:val="none"/>
              </w:rPr>
            </w:pPr>
            <w:r>
              <w:rPr>
                <w:rFonts w:hint="eastAsia" w:ascii="方正黑体简体" w:hAnsi="方正黑体简体" w:eastAsia="方正黑体简体" w:cs="方正黑体简体"/>
                <w:i w:val="0"/>
                <w:color w:val="000000"/>
                <w:kern w:val="0"/>
                <w:sz w:val="28"/>
                <w:szCs w:val="28"/>
                <w:u w:val="none"/>
                <w:lang w:val="en-US" w:eastAsia="zh-CN" w:bidi="ar"/>
              </w:rPr>
              <w:t>计划</w:t>
            </w:r>
            <w:r>
              <w:rPr>
                <w:rFonts w:hint="eastAsia" w:ascii="方正黑体简体" w:hAnsi="方正黑体简体" w:eastAsia="方正黑体简体" w:cs="方正黑体简体"/>
                <w:i w:val="0"/>
                <w:color w:val="000000"/>
                <w:kern w:val="0"/>
                <w:sz w:val="28"/>
                <w:szCs w:val="28"/>
                <w:u w:val="none"/>
                <w:lang w:val="en-US" w:eastAsia="zh-CN" w:bidi="ar"/>
              </w:rPr>
              <w:br w:type="textWrapping"/>
            </w:r>
            <w:r>
              <w:rPr>
                <w:rFonts w:hint="eastAsia" w:ascii="方正黑体简体" w:hAnsi="方正黑体简体" w:eastAsia="方正黑体简体" w:cs="方正黑体简体"/>
                <w:i w:val="0"/>
                <w:color w:val="000000"/>
                <w:kern w:val="0"/>
                <w:sz w:val="28"/>
                <w:szCs w:val="28"/>
                <w:u w:val="none"/>
                <w:lang w:val="en-US" w:eastAsia="zh-CN" w:bidi="ar"/>
              </w:rPr>
              <w:t>开展时间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黑体简体" w:hAnsi="方正黑体简体" w:eastAsia="方正黑体简体" w:cs="方正黑体简体"/>
                <w:i w:val="0"/>
                <w:color w:val="000000"/>
                <w:sz w:val="28"/>
                <w:szCs w:val="28"/>
                <w:u w:val="none"/>
              </w:rPr>
            </w:pPr>
            <w:r>
              <w:rPr>
                <w:rFonts w:hint="eastAsia" w:ascii="方正黑体简体" w:hAnsi="方正黑体简体" w:eastAsia="方正黑体简体" w:cs="方正黑体简体"/>
                <w:i w:val="0"/>
                <w:color w:val="000000"/>
                <w:kern w:val="0"/>
                <w:sz w:val="28"/>
                <w:szCs w:val="28"/>
                <w:u w:val="none"/>
                <w:lang w:val="en-US" w:eastAsia="zh-CN" w:bidi="ar"/>
              </w:rPr>
              <w:t>开展</w:t>
            </w:r>
            <w:r>
              <w:rPr>
                <w:rFonts w:hint="eastAsia" w:ascii="方正黑体简体" w:hAnsi="方正黑体简体" w:eastAsia="方正黑体简体" w:cs="方正黑体简体"/>
                <w:i w:val="0"/>
                <w:color w:val="000000"/>
                <w:kern w:val="0"/>
                <w:sz w:val="28"/>
                <w:szCs w:val="28"/>
                <w:u w:val="none"/>
                <w:lang w:val="en-US" w:eastAsia="zh-CN" w:bidi="ar"/>
              </w:rPr>
              <w:br w:type="textWrapping"/>
            </w:r>
            <w:r>
              <w:rPr>
                <w:rFonts w:hint="eastAsia" w:ascii="方正黑体简体" w:hAnsi="方正黑体简体" w:eastAsia="方正黑体简体" w:cs="方正黑体简体"/>
                <w:i w:val="0"/>
                <w:color w:val="000000"/>
                <w:kern w:val="0"/>
                <w:sz w:val="28"/>
                <w:szCs w:val="28"/>
                <w:u w:val="none"/>
                <w:lang w:val="en-US" w:eastAsia="zh-CN" w:bidi="ar"/>
              </w:rPr>
              <w:t>周期</w:t>
            </w:r>
          </w:p>
        </w:tc>
        <w:tc>
          <w:tcPr>
            <w:tcW w:w="2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黑体简体" w:hAnsi="方正黑体简体" w:eastAsia="方正黑体简体" w:cs="方正黑体简体"/>
                <w:i w:val="0"/>
                <w:color w:val="000000"/>
                <w:sz w:val="28"/>
                <w:szCs w:val="28"/>
                <w:u w:val="none"/>
              </w:rPr>
            </w:pPr>
            <w:r>
              <w:rPr>
                <w:rFonts w:hint="eastAsia" w:ascii="方正黑体简体" w:hAnsi="方正黑体简体" w:eastAsia="方正黑体简体" w:cs="方正黑体简体"/>
                <w:i w:val="0"/>
                <w:color w:val="000000"/>
                <w:kern w:val="0"/>
                <w:sz w:val="28"/>
                <w:szCs w:val="28"/>
                <w:u w:val="none"/>
                <w:lang w:val="en-US" w:eastAsia="zh-CN" w:bidi="ar"/>
              </w:rPr>
              <w:t>牵头单位</w:t>
            </w:r>
            <w:r>
              <w:rPr>
                <w:rFonts w:hint="eastAsia" w:ascii="方正黑体简体" w:hAnsi="方正黑体简体" w:eastAsia="方正黑体简体" w:cs="方正黑体简体"/>
                <w:i w:val="0"/>
                <w:color w:val="000000"/>
                <w:kern w:val="0"/>
                <w:sz w:val="28"/>
                <w:szCs w:val="28"/>
                <w:u w:val="none"/>
                <w:lang w:val="en-US" w:eastAsia="zh-CN" w:bidi="ar"/>
              </w:rPr>
              <w:br w:type="textWrapping"/>
            </w:r>
            <w:r>
              <w:rPr>
                <w:rFonts w:hint="eastAsia" w:ascii="方正黑体简体" w:hAnsi="方正黑体简体" w:eastAsia="方正黑体简体" w:cs="方正黑体简体"/>
                <w:i w:val="0"/>
                <w:color w:val="000000"/>
                <w:kern w:val="0"/>
                <w:sz w:val="28"/>
                <w:szCs w:val="28"/>
                <w:u w:val="none"/>
                <w:lang w:val="en-US" w:eastAsia="zh-CN" w:bidi="ar"/>
              </w:rPr>
              <w:t>和参加单位</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黑体简体" w:hAnsi="方正黑体简体" w:eastAsia="方正黑体简体" w:cs="方正黑体简体"/>
                <w:i w:val="0"/>
                <w:color w:val="000000"/>
                <w:sz w:val="28"/>
                <w:szCs w:val="28"/>
                <w:u w:val="none"/>
              </w:rPr>
            </w:pPr>
            <w:r>
              <w:rPr>
                <w:rFonts w:hint="eastAsia" w:ascii="方正黑体简体" w:hAnsi="方正黑体简体" w:eastAsia="方正黑体简体" w:cs="方正黑体简体"/>
                <w:i w:val="0"/>
                <w:color w:val="000000"/>
                <w:kern w:val="0"/>
                <w:sz w:val="28"/>
                <w:szCs w:val="28"/>
                <w:u w:val="none"/>
                <w:lang w:val="en-US" w:eastAsia="zh-CN" w:bidi="ar"/>
              </w:rPr>
              <w:t>开展方式</w:t>
            </w:r>
            <w:r>
              <w:rPr>
                <w:rFonts w:hint="eastAsia" w:ascii="方正黑体简体" w:hAnsi="方正黑体简体" w:eastAsia="方正黑体简体" w:cs="方正黑体简体"/>
                <w:i w:val="0"/>
                <w:color w:val="000000"/>
                <w:kern w:val="0"/>
                <w:sz w:val="28"/>
                <w:szCs w:val="28"/>
                <w:u w:val="none"/>
                <w:lang w:val="en-US" w:eastAsia="zh-CN" w:bidi="ar"/>
              </w:rPr>
              <w:br w:type="textWrapping"/>
            </w:r>
            <w:r>
              <w:rPr>
                <w:rFonts w:hint="eastAsia" w:ascii="方正黑体简体" w:hAnsi="方正黑体简体" w:eastAsia="方正黑体简体" w:cs="方正黑体简体"/>
                <w:i w:val="0"/>
                <w:color w:val="000000"/>
                <w:kern w:val="0"/>
                <w:sz w:val="28"/>
                <w:szCs w:val="28"/>
                <w:u w:val="none"/>
                <w:lang w:val="en-US" w:eastAsia="zh-CN" w:bidi="ar"/>
              </w:rPr>
              <w:t>及对象范围</w:t>
            </w:r>
          </w:p>
        </w:tc>
        <w:tc>
          <w:tcPr>
            <w:tcW w:w="3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黑体简体" w:hAnsi="方正黑体简体" w:eastAsia="方正黑体简体" w:cs="方正黑体简体"/>
                <w:i w:val="0"/>
                <w:color w:val="000000"/>
                <w:sz w:val="28"/>
                <w:szCs w:val="28"/>
                <w:u w:val="none"/>
              </w:rPr>
            </w:pPr>
            <w:r>
              <w:rPr>
                <w:rFonts w:hint="eastAsia" w:ascii="方正黑体简体" w:hAnsi="方正黑体简体" w:eastAsia="方正黑体简体" w:cs="方正黑体简体"/>
                <w:i w:val="0"/>
                <w:color w:val="000000"/>
                <w:kern w:val="0"/>
                <w:sz w:val="28"/>
                <w:szCs w:val="28"/>
                <w:u w:val="none"/>
                <w:lang w:val="en-US" w:eastAsia="zh-CN" w:bidi="ar"/>
              </w:rPr>
              <w:t>开展依据</w:t>
            </w:r>
          </w:p>
        </w:tc>
        <w:tc>
          <w:tcPr>
            <w:tcW w:w="7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黑体简体" w:hAnsi="方正黑体简体" w:eastAsia="方正黑体简体" w:cs="方正黑体简体"/>
                <w:i w:val="0"/>
                <w:color w:val="000000"/>
                <w:sz w:val="28"/>
                <w:szCs w:val="28"/>
                <w:u w:val="none"/>
              </w:rPr>
            </w:pPr>
            <w:r>
              <w:rPr>
                <w:rFonts w:hint="eastAsia" w:ascii="方正黑体简体" w:hAnsi="方正黑体简体" w:eastAsia="方正黑体简体" w:cs="方正黑体简体"/>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3" w:hRule="atLeast"/>
        </w:trPr>
        <w:tc>
          <w:tcPr>
            <w:tcW w:w="7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0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p>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p>
          <w:p>
            <w:pPr>
              <w:keepNext w:val="0"/>
              <w:keepLines w:val="0"/>
              <w:widowControl/>
              <w:suppressLineNumbers w:val="0"/>
              <w:jc w:val="left"/>
              <w:textAlignment w:val="top"/>
              <w:rPr>
                <w:rFonts w:hint="default" w:ascii="Times New Roman" w:hAnsi="Times New Roman" w:eastAsia="宋体" w:cs="Times New Roman"/>
                <w:i w:val="0"/>
                <w:color w:val="000000"/>
                <w:sz w:val="24"/>
                <w:szCs w:val="24"/>
                <w:u w:val="none"/>
              </w:rPr>
            </w:pPr>
            <w:r>
              <w:rPr>
                <w:rFonts w:hint="eastAsia" w:ascii="仿宋" w:hAnsi="仿宋" w:eastAsia="仿宋" w:cs="仿宋"/>
                <w:i w:val="0"/>
                <w:color w:val="000000"/>
                <w:kern w:val="0"/>
                <w:sz w:val="20"/>
                <w:szCs w:val="20"/>
                <w:u w:val="none"/>
                <w:lang w:val="en-US" w:eastAsia="zh-CN" w:bidi="ar"/>
              </w:rPr>
              <w:t>特种设备安全监督检查(电梯安全综 合监管、车用气瓶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执法检查</w:t>
            </w:r>
          </w:p>
        </w:tc>
        <w:tc>
          <w:tcPr>
            <w:tcW w:w="14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w:t>
            </w:r>
            <w:r>
              <w:rPr>
                <w:rFonts w:hint="eastAsia" w:ascii="Times New Roman" w:hAnsi="Times New Roman"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年</w:t>
            </w:r>
            <w:r>
              <w:rPr>
                <w:rFonts w:hint="eastAsia" w:ascii="Times New Roman" w:hAnsi="Times New Roman" w:cs="Times New Roman"/>
                <w:i w:val="0"/>
                <w:color w:val="000000"/>
                <w:kern w:val="0"/>
                <w:sz w:val="24"/>
                <w:szCs w:val="24"/>
                <w:u w:val="none"/>
                <w:lang w:val="en-US" w:eastAsia="zh-CN" w:bidi="ar"/>
              </w:rPr>
              <w:t>1</w:t>
            </w:r>
            <w:r>
              <w:rPr>
                <w:rFonts w:hint="default" w:ascii="Times New Roman" w:hAnsi="Times New Roman" w:eastAsia="宋体" w:cs="Times New Roman"/>
                <w:i w:val="0"/>
                <w:color w:val="000000"/>
                <w:kern w:val="0"/>
                <w:sz w:val="24"/>
                <w:szCs w:val="24"/>
                <w:u w:val="none"/>
                <w:lang w:val="en-US" w:eastAsia="zh-CN" w:bidi="ar"/>
              </w:rPr>
              <w:t>月</w:t>
            </w:r>
          </w:p>
        </w:tc>
        <w:tc>
          <w:tcPr>
            <w:tcW w:w="1176" w:type="dxa"/>
            <w:tcBorders>
              <w:top w:val="nil"/>
              <w:left w:val="nil"/>
              <w:bottom w:val="nil"/>
              <w:right w:val="nil"/>
            </w:tcBorders>
            <w:noWrap/>
            <w:vAlign w:val="top"/>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p>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p>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p>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p>
          <w:p>
            <w:pPr>
              <w:keepNext w:val="0"/>
              <w:keepLines w:val="0"/>
              <w:widowControl/>
              <w:suppressLineNumbers w:val="0"/>
              <w:jc w:val="left"/>
              <w:textAlignment w:val="top"/>
              <w:rPr>
                <w:rFonts w:hint="default" w:ascii="Times New Roman" w:hAnsi="Times New Roman" w:eastAsia="宋体" w:cs="Times New Roman"/>
                <w:i w:val="0"/>
                <w:color w:val="000000"/>
                <w:sz w:val="24"/>
                <w:szCs w:val="24"/>
                <w:u w:val="none"/>
              </w:rPr>
            </w:pPr>
            <w:r>
              <w:rPr>
                <w:rFonts w:hint="eastAsia" w:ascii="仿宋" w:hAnsi="仿宋" w:eastAsia="仿宋" w:cs="仿宋"/>
                <w:i w:val="0"/>
                <w:color w:val="000000"/>
                <w:kern w:val="0"/>
                <w:sz w:val="20"/>
                <w:szCs w:val="20"/>
                <w:u w:val="none"/>
                <w:lang w:val="en-US" w:eastAsia="zh-CN" w:bidi="ar"/>
              </w:rPr>
              <w:t>一年一次</w:t>
            </w:r>
          </w:p>
        </w:tc>
        <w:tc>
          <w:tcPr>
            <w:tcW w:w="285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24"/>
                <w:szCs w:val="24"/>
                <w:u w:val="none"/>
              </w:rPr>
            </w:pPr>
            <w:r>
              <w:rPr>
                <w:rFonts w:hint="eastAsia" w:ascii="仿宋" w:hAnsi="仿宋" w:eastAsia="仿宋" w:cs="仿宋"/>
                <w:i w:val="0"/>
                <w:color w:val="000000"/>
                <w:kern w:val="0"/>
                <w:sz w:val="20"/>
                <w:szCs w:val="20"/>
                <w:u w:val="none"/>
                <w:lang w:val="en-US" w:eastAsia="zh-CN" w:bidi="ar"/>
              </w:rPr>
              <w:t>市场监督管理局负责特种设备，住建局负责燃气物业，卫健委负责医院，应急管理局负责非煤矿山，交通局负责道路项目工程，文旅局负责景区滑雪场，商工局负责企业，各自在法定职责范围内日进行检查</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实地对全县116家特种设备使用点位进行实地检查</w:t>
            </w:r>
          </w:p>
        </w:tc>
        <w:tc>
          <w:tcPr>
            <w:tcW w:w="315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p>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p>
          <w:p>
            <w:pPr>
              <w:keepNext w:val="0"/>
              <w:keepLines w:val="0"/>
              <w:widowControl/>
              <w:suppressLineNumbers w:val="0"/>
              <w:jc w:val="left"/>
              <w:textAlignment w:val="top"/>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《中华人民共和国特种设备安全法》、《特种设备安全监察条例》、《特种设备目录》等</w:t>
            </w:r>
          </w:p>
        </w:tc>
        <w:tc>
          <w:tcPr>
            <w:tcW w:w="7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6"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707" w:type="dxa"/>
            <w:tcBorders>
              <w:top w:val="single" w:color="000000" w:sz="4" w:space="0"/>
              <w:left w:val="single" w:color="000000" w:sz="4" w:space="0"/>
              <w:bottom w:val="single" w:color="auto" w:sz="4" w:space="0"/>
              <w:right w:val="single" w:color="000000" w:sz="4" w:space="0"/>
            </w:tcBorders>
            <w:noWrap/>
            <w:vAlign w:val="top"/>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p>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p>
          <w:p>
            <w:pPr>
              <w:keepNext w:val="0"/>
              <w:keepLines w:val="0"/>
              <w:widowControl/>
              <w:suppressLineNumbers w:val="0"/>
              <w:jc w:val="left"/>
              <w:textAlignment w:val="top"/>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食品安全领域监督检查</w:t>
            </w:r>
          </w:p>
        </w:tc>
        <w:tc>
          <w:tcPr>
            <w:tcW w:w="108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left"/>
              <w:textAlignment w:val="top"/>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执法检查</w:t>
            </w:r>
          </w:p>
        </w:tc>
        <w:tc>
          <w:tcPr>
            <w:tcW w:w="1476"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left"/>
              <w:textAlignment w:val="top"/>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2026年1月</w:t>
            </w:r>
          </w:p>
        </w:tc>
        <w:tc>
          <w:tcPr>
            <w:tcW w:w="1176" w:type="dxa"/>
            <w:tcBorders>
              <w:top w:val="single" w:color="000000" w:sz="4" w:space="0"/>
              <w:left w:val="single" w:color="000000" w:sz="4" w:space="0"/>
              <w:bottom w:val="single" w:color="auto" w:sz="4" w:space="0"/>
              <w:right w:val="single" w:color="000000" w:sz="4" w:space="0"/>
            </w:tcBorders>
            <w:noWrap/>
            <w:vAlign w:val="top"/>
          </w:tcPr>
          <w:p>
            <w:pPr>
              <w:keepNext w:val="0"/>
              <w:keepLines w:val="0"/>
              <w:widowControl/>
              <w:suppressLineNumbers w:val="0"/>
              <w:jc w:val="left"/>
              <w:textAlignment w:val="top"/>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按照食品安全风险等级开展：A级1次；B级2次；C级3次；D级4次</w:t>
            </w:r>
          </w:p>
        </w:tc>
        <w:tc>
          <w:tcPr>
            <w:tcW w:w="2851" w:type="dxa"/>
            <w:tcBorders>
              <w:top w:val="single" w:color="000000" w:sz="4" w:space="0"/>
              <w:left w:val="single" w:color="000000" w:sz="4" w:space="0"/>
              <w:bottom w:val="single" w:color="auto" w:sz="4" w:space="0"/>
              <w:right w:val="single" w:color="000000" w:sz="4" w:space="0"/>
            </w:tcBorders>
            <w:noWrap w:val="0"/>
            <w:vAlign w:val="top"/>
          </w:tcPr>
          <w:p>
            <w:pPr>
              <w:keepNext w:val="0"/>
              <w:keepLines w:val="0"/>
              <w:widowControl/>
              <w:suppressLineNumbers w:val="0"/>
              <w:jc w:val="left"/>
              <w:textAlignment w:val="top"/>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 xml:space="preserve">市场监督管理局负责食品生产加工商品链条的监管， 农业农村局负责初级农产品 农产品原料的监管，消防局负责，消防设置的检查 </w:t>
            </w:r>
          </w:p>
        </w:tc>
        <w:tc>
          <w:tcPr>
            <w:tcW w:w="1379"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left"/>
              <w:textAlignment w:val="top"/>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对</w:t>
            </w:r>
            <w:r>
              <w:rPr>
                <w:rFonts w:hint="default" w:ascii="仿宋" w:hAnsi="仿宋" w:eastAsia="仿宋" w:cs="仿宋"/>
                <w:i w:val="0"/>
                <w:color w:val="000000"/>
                <w:kern w:val="0"/>
                <w:sz w:val="20"/>
                <w:szCs w:val="20"/>
                <w:u w:val="none"/>
                <w:lang w:val="en-US" w:eastAsia="zh-CN" w:bidi="ar"/>
              </w:rPr>
              <w:t>食品生产企业27家</w:t>
            </w:r>
            <w:r>
              <w:rPr>
                <w:rFonts w:hint="eastAsia" w:ascii="仿宋" w:hAnsi="仿宋" w:eastAsia="仿宋" w:cs="仿宋"/>
                <w:i w:val="0"/>
                <w:color w:val="000000"/>
                <w:kern w:val="0"/>
                <w:sz w:val="20"/>
                <w:szCs w:val="20"/>
                <w:u w:val="none"/>
                <w:lang w:val="en-US" w:eastAsia="zh-CN" w:bidi="ar"/>
              </w:rPr>
              <w:t>和59个学校食堂2个菜市场进行实地检查</w:t>
            </w:r>
          </w:p>
        </w:tc>
        <w:tc>
          <w:tcPr>
            <w:tcW w:w="3150" w:type="dxa"/>
            <w:tcBorders>
              <w:top w:val="single" w:color="000000" w:sz="4" w:space="0"/>
              <w:left w:val="single" w:color="000000" w:sz="4" w:space="0"/>
              <w:bottom w:val="single" w:color="auto" w:sz="4" w:space="0"/>
              <w:right w:val="single" w:color="000000" w:sz="4" w:space="0"/>
            </w:tcBorders>
            <w:noWrap/>
            <w:vAlign w:val="top"/>
          </w:tcPr>
          <w:p>
            <w:pPr>
              <w:keepNext w:val="0"/>
              <w:keepLines w:val="0"/>
              <w:widowControl/>
              <w:suppressLineNumbers w:val="0"/>
              <w:jc w:val="left"/>
              <w:textAlignment w:val="top"/>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1、《中华人民共和国食品安全法》；2、国家市场监督管理总局令第　49　号《食品生产经营监督检查管理办法》；3、《企业落实食品安全主体责任监督管理规定》（总局60号令）；4、中华人民共和国国务院令第721号《中华人民共和国食品安全法实施条例》</w:t>
            </w:r>
          </w:p>
        </w:tc>
        <w:tc>
          <w:tcPr>
            <w:tcW w:w="776" w:type="dxa"/>
            <w:tcBorders>
              <w:top w:val="single" w:color="000000" w:sz="4" w:space="0"/>
              <w:left w:val="single" w:color="000000" w:sz="4" w:space="0"/>
              <w:bottom w:val="single" w:color="auto" w:sz="4" w:space="0"/>
              <w:right w:val="single" w:color="000000" w:sz="4" w:space="0"/>
            </w:tcBorders>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7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药品、医疗器械经营使用情况医疗器械质量综合监管</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执法检查</w:t>
            </w:r>
          </w:p>
        </w:tc>
        <w:tc>
          <w:tcPr>
            <w:tcW w:w="147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2026年1月</w:t>
            </w:r>
          </w:p>
        </w:tc>
        <w:tc>
          <w:tcPr>
            <w:tcW w:w="117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一年一次</w:t>
            </w:r>
          </w:p>
        </w:tc>
        <w:tc>
          <w:tcPr>
            <w:tcW w:w="285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市监局检查：药品、医疗器械采购、储存、使用及明码标价情况；卫健委检查：开展医疗器械使用单位监督 检査,协助提供全区医疗美 容、医疗机构台服；医保局检查：提供箱区集中带量采购中选 产品清单、配送企业名单</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药品、医疗器械经营企业（50）家,医疗机构（4）家,药品生产企业（1）家,化妆品生产企业（1）家进行实地检查</w:t>
            </w:r>
          </w:p>
        </w:tc>
        <w:tc>
          <w:tcPr>
            <w:tcW w:w="31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《中华人民共和国药品管理法》《药品经营和使用质量监督管理办法》《医疗器械监督管理条例》等</w:t>
            </w:r>
          </w:p>
        </w:tc>
        <w:tc>
          <w:tcPr>
            <w:tcW w:w="776"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2" w:hRule="atLeast"/>
        </w:trPr>
        <w:tc>
          <w:tcPr>
            <w:tcW w:w="77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4</w:t>
            </w:r>
          </w:p>
        </w:tc>
        <w:tc>
          <w:tcPr>
            <w:tcW w:w="17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对检验检测机构认证认可和资质认证的行政</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检查</w:t>
            </w:r>
          </w:p>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p>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执法检查</w:t>
            </w:r>
          </w:p>
        </w:tc>
        <w:tc>
          <w:tcPr>
            <w:tcW w:w="147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2026年3月</w:t>
            </w:r>
          </w:p>
        </w:tc>
        <w:tc>
          <w:tcPr>
            <w:tcW w:w="117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一年一次</w:t>
            </w:r>
          </w:p>
        </w:tc>
        <w:tc>
          <w:tcPr>
            <w:tcW w:w="285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市场监管局检查认证认可和资质认证；环保局检查尾气；车管所检查数据上传</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检验检测机构5家企业进行实地检查；</w:t>
            </w:r>
          </w:p>
        </w:tc>
        <w:tc>
          <w:tcPr>
            <w:tcW w:w="31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《中华人民共和国认证认可条例》《检验检测机构资质认定管理办法》《检验检测机构监督管理办法》</w:t>
            </w:r>
          </w:p>
        </w:tc>
        <w:tc>
          <w:tcPr>
            <w:tcW w:w="776"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5</w:t>
            </w:r>
          </w:p>
        </w:tc>
        <w:tc>
          <w:tcPr>
            <w:tcW w:w="17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对收费站在用的动态汽车衡的行</w:t>
            </w:r>
          </w:p>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政检查</w:t>
            </w:r>
          </w:p>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p>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p>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p>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执法检查</w:t>
            </w:r>
          </w:p>
        </w:tc>
        <w:tc>
          <w:tcPr>
            <w:tcW w:w="147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2026年3月</w:t>
            </w:r>
          </w:p>
        </w:tc>
        <w:tc>
          <w:tcPr>
            <w:tcW w:w="117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一年一次</w:t>
            </w:r>
          </w:p>
        </w:tc>
        <w:tc>
          <w:tcPr>
            <w:tcW w:w="285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市场监管局检查是否在检定周期使用；交通局、交通运输执法大队检查违规收费、超载</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收费站动态汽车衡3家进行实地检查；</w:t>
            </w:r>
          </w:p>
        </w:tc>
        <w:tc>
          <w:tcPr>
            <w:tcW w:w="31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《中华人民共和国计量法》《中华人民共和国计量法实施细则》《新疆维吾尔自治区计量监督管理条例》</w:t>
            </w:r>
          </w:p>
        </w:tc>
        <w:tc>
          <w:tcPr>
            <w:tcW w:w="776"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6</w:t>
            </w:r>
          </w:p>
        </w:tc>
        <w:tc>
          <w:tcPr>
            <w:tcW w:w="17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价格监管</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执法检查</w:t>
            </w:r>
          </w:p>
        </w:tc>
        <w:tc>
          <w:tcPr>
            <w:tcW w:w="147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2026年6月</w:t>
            </w:r>
          </w:p>
        </w:tc>
        <w:tc>
          <w:tcPr>
            <w:tcW w:w="117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无事不扰，有违法线索的予以核查</w:t>
            </w:r>
          </w:p>
        </w:tc>
        <w:tc>
          <w:tcPr>
            <w:tcW w:w="285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发改委牵头，市场监督管理局配合，文旅居牵头，市场监督管理局配合</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对全县8家粮食收购、3家水电气暖企业和涉及价格旅游相关市场主体进行实地检查；</w:t>
            </w:r>
          </w:p>
        </w:tc>
        <w:tc>
          <w:tcPr>
            <w:tcW w:w="31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粮食流通管理条例》第三十九条：市场监督管理部门依照有关法律、法规的规定，对粮食经营活动中的扰乱市场秩序行为、违法交易行为以及价格违法行为进行监督检查。《关于清理规范城镇供水供电供气供暖行业收费促进行业高质量发展的意见》（国办函 【2020】129号）《中华人民共和国价格法》、《自治区旅游景区门票及相关服务价格管理办法》（新发改规【2021】19号）</w:t>
            </w:r>
          </w:p>
        </w:tc>
        <w:tc>
          <w:tcPr>
            <w:tcW w:w="776"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7</w:t>
            </w:r>
          </w:p>
        </w:tc>
        <w:tc>
          <w:tcPr>
            <w:tcW w:w="17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广告市场</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执法检查</w:t>
            </w:r>
          </w:p>
        </w:tc>
        <w:tc>
          <w:tcPr>
            <w:tcW w:w="147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2026年1月</w:t>
            </w:r>
          </w:p>
        </w:tc>
        <w:tc>
          <w:tcPr>
            <w:tcW w:w="117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无事不扰，有违法线索的予以核查</w:t>
            </w:r>
          </w:p>
        </w:tc>
        <w:tc>
          <w:tcPr>
            <w:tcW w:w="285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市监局</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全县发布广告的企业</w:t>
            </w:r>
          </w:p>
        </w:tc>
        <w:tc>
          <w:tcPr>
            <w:tcW w:w="31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《中华人民共和国广告法》</w:t>
            </w:r>
          </w:p>
        </w:tc>
        <w:tc>
          <w:tcPr>
            <w:tcW w:w="776"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8</w:t>
            </w:r>
          </w:p>
        </w:tc>
        <w:tc>
          <w:tcPr>
            <w:tcW w:w="17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工业产品质量</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执法检查</w:t>
            </w:r>
          </w:p>
        </w:tc>
        <w:tc>
          <w:tcPr>
            <w:tcW w:w="147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2026年1月</w:t>
            </w:r>
          </w:p>
        </w:tc>
        <w:tc>
          <w:tcPr>
            <w:tcW w:w="117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一年一次</w:t>
            </w:r>
          </w:p>
        </w:tc>
        <w:tc>
          <w:tcPr>
            <w:tcW w:w="285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尼勒克县市监局牵头，县交警大队配合</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瑞祥焦化、布隆圣泉2家工业产品生产企业进行实地检查，对全县工业产品销售28家 进行实地检查；</w:t>
            </w:r>
          </w:p>
        </w:tc>
        <w:tc>
          <w:tcPr>
            <w:tcW w:w="31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《国家市场监督管理总局令75号令、76号令；《中华人民共和国产品质量法》、《中华</w:t>
            </w:r>
            <w:bookmarkStart w:id="0" w:name="_GoBack"/>
            <w:bookmarkEnd w:id="0"/>
            <w:r>
              <w:rPr>
                <w:rFonts w:hint="eastAsia" w:ascii="仿宋" w:hAnsi="仿宋" w:eastAsia="仿宋" w:cs="仿宋"/>
                <w:i w:val="0"/>
                <w:color w:val="000000"/>
                <w:kern w:val="0"/>
                <w:sz w:val="20"/>
                <w:szCs w:val="20"/>
                <w:u w:val="none"/>
                <w:lang w:val="en-US" w:eastAsia="zh-CN" w:bidi="ar"/>
              </w:rPr>
              <w:t>人民共和国标准化法》、《中华人民共和国工业产品生产许可证管理条例》《中华人民共和国认证认可条例》</w:t>
            </w:r>
          </w:p>
        </w:tc>
        <w:tc>
          <w:tcPr>
            <w:tcW w:w="776"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7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p>
        </w:tc>
        <w:tc>
          <w:tcPr>
            <w:tcW w:w="147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p>
        </w:tc>
        <w:tc>
          <w:tcPr>
            <w:tcW w:w="117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p>
        </w:tc>
        <w:tc>
          <w:tcPr>
            <w:tcW w:w="285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p>
        </w:tc>
        <w:tc>
          <w:tcPr>
            <w:tcW w:w="31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p>
        </w:tc>
        <w:tc>
          <w:tcPr>
            <w:tcW w:w="776"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707"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hint="eastAsia" w:ascii="方正仿宋简体" w:hAnsi="方正仿宋简体" w:eastAsia="方正仿宋简体" w:cs="方正仿宋简体"/>
                <w:i w:val="0"/>
                <w:color w:val="000000"/>
                <w:sz w:val="24"/>
                <w:szCs w:val="24"/>
                <w:u w:val="none"/>
              </w:rPr>
            </w:pPr>
          </w:p>
        </w:tc>
        <w:tc>
          <w:tcPr>
            <w:tcW w:w="1476"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color w:val="000000"/>
                <w:sz w:val="24"/>
                <w:szCs w:val="24"/>
                <w:u w:val="none"/>
              </w:rPr>
            </w:pPr>
          </w:p>
        </w:tc>
        <w:tc>
          <w:tcPr>
            <w:tcW w:w="1176"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color w:val="000000"/>
                <w:sz w:val="24"/>
                <w:szCs w:val="24"/>
                <w:u w:val="none"/>
              </w:rPr>
            </w:pPr>
          </w:p>
        </w:tc>
        <w:tc>
          <w:tcPr>
            <w:tcW w:w="285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color w:val="000000"/>
                <w:sz w:val="24"/>
                <w:szCs w:val="24"/>
                <w:u w:val="none"/>
              </w:rPr>
            </w:pPr>
          </w:p>
        </w:tc>
        <w:tc>
          <w:tcPr>
            <w:tcW w:w="137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color w:val="000000"/>
                <w:sz w:val="24"/>
                <w:szCs w:val="24"/>
                <w:u w:val="none"/>
              </w:rPr>
            </w:pPr>
          </w:p>
        </w:tc>
        <w:tc>
          <w:tcPr>
            <w:tcW w:w="315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color w:val="000000"/>
                <w:sz w:val="24"/>
                <w:szCs w:val="24"/>
                <w:u w:val="none"/>
              </w:rPr>
            </w:pPr>
          </w:p>
        </w:tc>
        <w:tc>
          <w:tcPr>
            <w:tcW w:w="776"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707"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hint="eastAsia" w:ascii="方正仿宋简体" w:hAnsi="方正仿宋简体" w:eastAsia="方正仿宋简体" w:cs="方正仿宋简体"/>
                <w:i w:val="0"/>
                <w:color w:val="000000"/>
                <w:sz w:val="24"/>
                <w:szCs w:val="24"/>
                <w:u w:val="none"/>
              </w:rPr>
            </w:pPr>
          </w:p>
        </w:tc>
        <w:tc>
          <w:tcPr>
            <w:tcW w:w="1476"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color w:val="000000"/>
                <w:sz w:val="24"/>
                <w:szCs w:val="24"/>
                <w:u w:val="none"/>
              </w:rPr>
            </w:pPr>
          </w:p>
        </w:tc>
        <w:tc>
          <w:tcPr>
            <w:tcW w:w="1176"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color w:val="000000"/>
                <w:sz w:val="24"/>
                <w:szCs w:val="24"/>
                <w:u w:val="none"/>
              </w:rPr>
            </w:pPr>
          </w:p>
        </w:tc>
        <w:tc>
          <w:tcPr>
            <w:tcW w:w="285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color w:val="000000"/>
                <w:sz w:val="24"/>
                <w:szCs w:val="24"/>
                <w:u w:val="none"/>
              </w:rPr>
            </w:pPr>
          </w:p>
        </w:tc>
        <w:tc>
          <w:tcPr>
            <w:tcW w:w="137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color w:val="000000"/>
                <w:sz w:val="24"/>
                <w:szCs w:val="24"/>
                <w:u w:val="none"/>
              </w:rPr>
            </w:pPr>
          </w:p>
        </w:tc>
        <w:tc>
          <w:tcPr>
            <w:tcW w:w="315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color w:val="000000"/>
                <w:sz w:val="24"/>
                <w:szCs w:val="24"/>
                <w:u w:val="none"/>
              </w:rPr>
            </w:pPr>
          </w:p>
        </w:tc>
        <w:tc>
          <w:tcPr>
            <w:tcW w:w="776"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color w:val="000000"/>
                <w:sz w:val="24"/>
                <w:szCs w:val="24"/>
                <w:u w:val="none"/>
              </w:rPr>
            </w:pPr>
          </w:p>
        </w:tc>
      </w:tr>
    </w:tbl>
    <w:p>
      <w:pPr>
        <w:spacing w:line="220" w:lineRule="atLeast"/>
      </w:pPr>
    </w:p>
    <w:sectPr>
      <w:pgSz w:w="16838" w:h="11906" w:orient="landscape"/>
      <w:pgMar w:top="1800" w:right="1440" w:bottom="180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3665539A"/>
    <w:rsid w:val="47AF6830"/>
    <w:rsid w:val="6ACF0B94"/>
    <w:rsid w:val="7AB35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9</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2026-02-05T04:13:17Z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879FB0D55E734511ABD4210DC388E665</vt:lpwstr>
  </property>
</Properties>
</file>