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C9" w:rsidRPr="006E1DC9" w:rsidRDefault="006E1DC9" w:rsidP="006E1DC9">
      <w:pPr>
        <w:adjustRightInd/>
        <w:snapToGrid/>
        <w:spacing w:after="0" w:line="560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6E1DC9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关于《尼勒克县森林草原防火禁火令的通告》政策解读</w:t>
      </w:r>
    </w:p>
    <w:p w:rsidR="006E1DC9" w:rsidRPr="006E1DC9" w:rsidRDefault="006E1DC9" w:rsidP="006E1DC9">
      <w:pPr>
        <w:adjustRightInd/>
        <w:snapToGrid/>
        <w:spacing w:after="0" w:line="560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宋体" w:eastAsia="宋体" w:hAnsi="宋体" w:cs="宋体" w:hint="eastAsia"/>
          <w:color w:val="000000"/>
          <w:sz w:val="32"/>
          <w:szCs w:val="32"/>
        </w:rPr>
        <w:t> </w:t>
      </w:r>
    </w:p>
    <w:p w:rsidR="006E1DC9" w:rsidRPr="006E1DC9" w:rsidRDefault="006E1DC9" w:rsidP="006E1DC9">
      <w:pPr>
        <w:shd w:val="clear" w:color="auto" w:fill="FFFFFF"/>
        <w:adjustRightInd/>
        <w:snapToGrid/>
        <w:spacing w:after="0" w:line="560" w:lineRule="atLeast"/>
        <w:ind w:firstLine="62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一、制定目标</w:t>
      </w:r>
    </w:p>
    <w:p w:rsidR="006E1DC9" w:rsidRPr="006E1DC9" w:rsidRDefault="006E1DC9" w:rsidP="006E1DC9">
      <w:pPr>
        <w:shd w:val="clear" w:color="auto" w:fill="FFFFFF"/>
        <w:adjustRightInd/>
        <w:snapToGrid/>
        <w:spacing w:after="0" w:line="560" w:lineRule="atLeast"/>
        <w:ind w:firstLine="62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森林草原火灾是一种突发性强、破坏性大、处置救助较为困难的自然灾害，不仅严重威胁森林资源和生态安全，还直接关系到人民群众生命财产安全以及经济社会发展大局。为有效预防和遏制森林火灾的发生，切实保护森林草原资源和人民群众生命财产安全，特发布《禁火令》。</w:t>
      </w:r>
    </w:p>
    <w:p w:rsidR="006E1DC9" w:rsidRPr="006E1DC9" w:rsidRDefault="006E1DC9" w:rsidP="006E1DC9">
      <w:pPr>
        <w:shd w:val="clear" w:color="auto" w:fill="FFFFFF"/>
        <w:adjustRightInd/>
        <w:snapToGrid/>
        <w:spacing w:after="0" w:line="560" w:lineRule="atLeast"/>
        <w:ind w:firstLine="62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二、《禁火令》制定依据</w:t>
      </w:r>
    </w:p>
    <w:p w:rsidR="006E1DC9" w:rsidRPr="006E1DC9" w:rsidRDefault="006E1DC9" w:rsidP="006E1DC9">
      <w:pPr>
        <w:shd w:val="clear" w:color="auto" w:fill="FFFFFF"/>
        <w:adjustRightInd/>
        <w:snapToGrid/>
        <w:spacing w:after="0" w:line="560" w:lineRule="atLeast"/>
        <w:ind w:firstLine="62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依据《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《中华人民共和国森林法》《中华人民共和国森林防火条例》《草原防火条例》和《新疆维吾尔自治区实施&lt;森林防火条例&gt;办法》等有关规定，</w:t>
      </w:r>
      <w:r w:rsidRPr="006E1DC9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这些法律法规规章对森林草原防火的责任、措施、法律责任等方面都做出了明确规定，是制定本通告的重要法律基础，确保通告内容具有合法性和权威性。</w:t>
      </w:r>
    </w:p>
    <w:p w:rsidR="006E1DC9" w:rsidRPr="006E1DC9" w:rsidRDefault="006E1DC9" w:rsidP="006E1DC9">
      <w:pPr>
        <w:adjustRightInd/>
        <w:snapToGrid/>
        <w:spacing w:after="0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三、《禁火令》的主要内容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（一）、禁火期限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2025年3月20日起至2025年11月20日止。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（二）、禁火区域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全县行政区域内所有森林、草原、湿地自然保护区及林（草）地、林木边缘水平距离300米范围内为禁火区域（含国有林区天然林、平原人工林、有林地、疏林地、灌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lastRenderedPageBreak/>
        <w:t>木林地、未成林造林地、苗圃地、森林公园、湿地公园、涉林旅游景点等）。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（三）、禁火内容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1、在禁火期、禁火区，任何单位和个人不得实施下列行为携带火源、火种及易燃易爆品；进出车辆和人员应当扫“防火码”进行实名登记，依法接受安全检查，遵守防火规定，任何单位和个人不得阻碍、拒绝检查；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2、吸烟、燃放烟花爆竹、焚香烧纸、烧灰积肥、烧秸秆、烧田埂、开垦烧荒、烧垃圾、野炊、生火取暖、户外露营用火等野外生产性用火；驾乘人员在有林（草）道路沿线向车外扔烟头。</w:t>
      </w:r>
    </w:p>
    <w:p w:rsidR="006E1DC9" w:rsidRPr="006E1DC9" w:rsidRDefault="006E1DC9" w:rsidP="006E1DC9">
      <w:pPr>
        <w:wordWrap w:val="0"/>
        <w:adjustRightInd/>
        <w:snapToGrid/>
        <w:spacing w:after="0" w:line="560" w:lineRule="atLeast"/>
        <w:ind w:firstLine="64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3、如因特殊情况需要野外用火的，应当向辖区所在地乡镇人民政府、林草部门提交用火申请，并经县人民政府或者其委托的林草主管部门审批同意，在气象条件允许且采取有效防范措施的前提下开展。</w:t>
      </w:r>
    </w:p>
    <w:p w:rsidR="006E1DC9" w:rsidRPr="006E1DC9" w:rsidRDefault="006E1DC9" w:rsidP="006E1DC9">
      <w:pPr>
        <w:adjustRightInd/>
        <w:snapToGrid/>
        <w:spacing w:before="100" w:beforeAutospacing="1" w:after="100" w:afterAutospacing="1" w:line="560" w:lineRule="atLeast"/>
        <w:ind w:firstLine="640"/>
        <w:outlineLvl w:val="2"/>
        <w:rPr>
          <w:rFonts w:ascii="宋体" w:eastAsia="宋体" w:hAnsi="宋体" w:cs="宋体" w:hint="eastAsia"/>
          <w:b/>
          <w:bCs/>
          <w:color w:val="000000"/>
          <w:sz w:val="27"/>
          <w:szCs w:val="27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4、其他易引发森林草原火灾的行为。</w:t>
      </w:r>
    </w:p>
    <w:p w:rsidR="006E1DC9" w:rsidRPr="006E1DC9" w:rsidRDefault="006E1DC9" w:rsidP="006E1DC9">
      <w:pPr>
        <w:adjustRightInd/>
        <w:snapToGrid/>
        <w:spacing w:after="0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四、实施意义</w:t>
      </w:r>
    </w:p>
    <w:p w:rsidR="006E1DC9" w:rsidRPr="006E1DC9" w:rsidRDefault="006E1DC9" w:rsidP="006E1DC9">
      <w:pPr>
        <w:adjustRightInd/>
        <w:snapToGrid/>
        <w:spacing w:after="0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（一）保护生命财产安全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 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：森林草原火灾破坏性大，难以处置，禁火令通过严格管控火源，能有效降低火灾发生概率，避免火灾烧毁房屋、农田等，保障人民群众的生命和财产安全，维护社会生产生活的稳定秩序。</w:t>
      </w:r>
    </w:p>
    <w:p w:rsidR="006E1DC9" w:rsidRPr="006E1DC9" w:rsidRDefault="006E1DC9" w:rsidP="006E1DC9">
      <w:pPr>
        <w:adjustRightInd/>
        <w:snapToGrid/>
        <w:spacing w:after="0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（二）维护生态平衡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 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：森林和草原是重要的生态系统，对于保持水土、涵养水源、调节气候、维护生物多样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lastRenderedPageBreak/>
        <w:t>性等至关重要。禁火令可减少火灾对森林草原植被的破坏，保护生态平衡，促进生态系统的可持续发展。</w:t>
      </w:r>
    </w:p>
    <w:p w:rsidR="006E1DC9" w:rsidRPr="006E1DC9" w:rsidRDefault="006E1DC9" w:rsidP="006E1DC9">
      <w:pPr>
        <w:adjustRightInd/>
        <w:snapToGrid/>
        <w:spacing w:after="0" w:line="560" w:lineRule="atLeast"/>
        <w:ind w:firstLine="64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（三）践行绿色发展理念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 </w:t>
      </w:r>
      <w:r w:rsidRPr="006E1DC9">
        <w:rPr>
          <w:rFonts w:ascii="仿宋_GB2312" w:eastAsia="仿宋_GB2312" w:hAnsi="宋体" w:cs="宋体" w:hint="eastAsia"/>
          <w:color w:val="222222"/>
          <w:sz w:val="32"/>
          <w:szCs w:val="32"/>
        </w:rPr>
        <w:t>：实施禁火令是践行“绿水青山就是金山银山”理念的重要举措，有利于保护森林草原资源，确保森林资源的可持续利用，为经济社会的绿色发展、可持续发展提供坚实的生态基础。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99" w:rsidRDefault="00485F99" w:rsidP="006E1DC9">
      <w:pPr>
        <w:spacing w:after="0"/>
      </w:pPr>
      <w:r>
        <w:separator/>
      </w:r>
    </w:p>
  </w:endnote>
  <w:endnote w:type="continuationSeparator" w:id="0">
    <w:p w:rsidR="00485F99" w:rsidRDefault="00485F99" w:rsidP="006E1D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99" w:rsidRDefault="00485F99" w:rsidP="006E1DC9">
      <w:pPr>
        <w:spacing w:after="0"/>
      </w:pPr>
      <w:r>
        <w:separator/>
      </w:r>
    </w:p>
  </w:footnote>
  <w:footnote w:type="continuationSeparator" w:id="0">
    <w:p w:rsidR="00485F99" w:rsidRDefault="00485F99" w:rsidP="006E1DC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006E4"/>
    <w:rsid w:val="00426133"/>
    <w:rsid w:val="004358AB"/>
    <w:rsid w:val="00485F99"/>
    <w:rsid w:val="006E1DC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6E1DC9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D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DC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D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DC9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E1DC9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579</Characters>
  <Application>Microsoft Office Word</Application>
  <DocSecurity>0</DocSecurity>
  <Lines>48</Lines>
  <Paragraphs>81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2025-12-10T09:56:00Z</dcterms:modified>
</cp:coreProperties>
</file>