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伊犁州食品抽检进度统计表</w:t>
      </w:r>
    </w:p>
    <w:tbl>
      <w:tblPr>
        <w:tblStyle w:val="4"/>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15"/>
        <w:gridCol w:w="1272"/>
        <w:gridCol w:w="1272"/>
        <w:gridCol w:w="1273"/>
        <w:gridCol w:w="1272"/>
        <w:gridCol w:w="1272"/>
        <w:gridCol w:w="1254"/>
        <w:gridCol w:w="1254"/>
        <w:gridCol w:w="125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728" w:type="dxa"/>
            <w:vAlign w:val="center"/>
          </w:tcPr>
          <w:p>
            <w:pPr>
              <w:jc w:val="center"/>
              <w:rPr>
                <w:rFonts w:hint="eastAsia"/>
                <w:b/>
                <w:bCs/>
                <w:vertAlign w:val="baseline"/>
                <w:lang w:val="en-US" w:eastAsia="zh-CN"/>
              </w:rPr>
            </w:pPr>
            <w:r>
              <w:rPr>
                <w:rFonts w:hint="eastAsia"/>
                <w:b/>
                <w:bCs/>
                <w:vertAlign w:val="baseline"/>
                <w:lang w:val="en-US" w:eastAsia="zh-CN"/>
              </w:rPr>
              <w:t>序号</w:t>
            </w:r>
          </w:p>
        </w:tc>
        <w:tc>
          <w:tcPr>
            <w:tcW w:w="1815" w:type="dxa"/>
            <w:vAlign w:val="center"/>
          </w:tcPr>
          <w:p>
            <w:pPr>
              <w:jc w:val="center"/>
              <w:rPr>
                <w:rFonts w:hint="eastAsia"/>
                <w:b/>
                <w:bCs/>
                <w:vertAlign w:val="baseline"/>
                <w:lang w:val="en-US" w:eastAsia="zh-CN"/>
              </w:rPr>
            </w:pPr>
            <w:r>
              <w:rPr>
                <w:rFonts w:hint="eastAsia"/>
                <w:b/>
                <w:bCs/>
                <w:vertAlign w:val="baseline"/>
                <w:lang w:val="en-US" w:eastAsia="zh-CN"/>
              </w:rPr>
              <w:t>州本级、县市</w:t>
            </w:r>
          </w:p>
        </w:tc>
        <w:tc>
          <w:tcPr>
            <w:tcW w:w="1272" w:type="dxa"/>
            <w:vAlign w:val="center"/>
          </w:tcPr>
          <w:p>
            <w:pPr>
              <w:jc w:val="center"/>
              <w:rPr>
                <w:rFonts w:hint="eastAsia"/>
                <w:b/>
                <w:bCs/>
                <w:vertAlign w:val="baseline"/>
                <w:lang w:val="en-US" w:eastAsia="zh-CN"/>
              </w:rPr>
            </w:pPr>
            <w:r>
              <w:rPr>
                <w:rFonts w:hint="eastAsia"/>
                <w:b/>
                <w:bCs/>
                <w:vertAlign w:val="baseline"/>
                <w:lang w:val="en-US" w:eastAsia="zh-CN"/>
              </w:rPr>
              <w:t>食用农产品抽检任务（批次）</w:t>
            </w:r>
          </w:p>
        </w:tc>
        <w:tc>
          <w:tcPr>
            <w:tcW w:w="1272" w:type="dxa"/>
            <w:vAlign w:val="center"/>
          </w:tcPr>
          <w:p>
            <w:pPr>
              <w:jc w:val="center"/>
              <w:rPr>
                <w:rFonts w:hint="eastAsia"/>
                <w:b/>
                <w:bCs/>
                <w:vertAlign w:val="baseline"/>
                <w:lang w:val="en-US" w:eastAsia="zh-CN"/>
              </w:rPr>
            </w:pPr>
            <w:r>
              <w:rPr>
                <w:rFonts w:hint="eastAsia"/>
                <w:b/>
                <w:bCs/>
                <w:vertAlign w:val="baseline"/>
                <w:lang w:val="en-US" w:eastAsia="zh-CN"/>
              </w:rPr>
              <w:t>完成任务（批次）</w:t>
            </w:r>
          </w:p>
        </w:tc>
        <w:tc>
          <w:tcPr>
            <w:tcW w:w="1273" w:type="dxa"/>
            <w:vAlign w:val="center"/>
          </w:tcPr>
          <w:p>
            <w:pPr>
              <w:jc w:val="center"/>
              <w:rPr>
                <w:rFonts w:hint="eastAsia"/>
                <w:b/>
                <w:bCs/>
                <w:vertAlign w:val="baseline"/>
                <w:lang w:val="en-US" w:eastAsia="zh-CN"/>
              </w:rPr>
            </w:pPr>
            <w:r>
              <w:rPr>
                <w:rFonts w:hint="eastAsia"/>
                <w:b/>
                <w:bCs/>
                <w:vertAlign w:val="baseline"/>
                <w:lang w:val="en-US" w:eastAsia="zh-CN"/>
              </w:rPr>
              <w:t>完成比率%</w:t>
            </w:r>
          </w:p>
        </w:tc>
        <w:tc>
          <w:tcPr>
            <w:tcW w:w="1272" w:type="dxa"/>
            <w:vAlign w:val="center"/>
          </w:tcPr>
          <w:p>
            <w:pPr>
              <w:jc w:val="center"/>
              <w:rPr>
                <w:rFonts w:hint="eastAsia"/>
                <w:b/>
                <w:bCs/>
                <w:vertAlign w:val="baseline"/>
                <w:lang w:val="en-US" w:eastAsia="zh-CN"/>
              </w:rPr>
            </w:pPr>
            <w:r>
              <w:rPr>
                <w:rFonts w:hint="eastAsia"/>
                <w:b/>
                <w:bCs/>
                <w:vertAlign w:val="baseline"/>
                <w:lang w:val="en-US" w:eastAsia="zh-CN"/>
              </w:rPr>
              <w:t>合格率%</w:t>
            </w:r>
          </w:p>
        </w:tc>
        <w:tc>
          <w:tcPr>
            <w:tcW w:w="1272" w:type="dxa"/>
            <w:vAlign w:val="center"/>
          </w:tcPr>
          <w:p>
            <w:pPr>
              <w:jc w:val="center"/>
              <w:rPr>
                <w:rFonts w:hint="eastAsia"/>
                <w:b/>
                <w:bCs/>
                <w:vertAlign w:val="baseline"/>
                <w:lang w:val="en-US" w:eastAsia="zh-CN"/>
              </w:rPr>
            </w:pPr>
            <w:r>
              <w:rPr>
                <w:rFonts w:hint="eastAsia"/>
                <w:b/>
                <w:bCs/>
                <w:vertAlign w:val="baseline"/>
                <w:lang w:val="en-US" w:eastAsia="zh-CN"/>
              </w:rPr>
              <w:t>餐饮食品抽检任务批次</w:t>
            </w:r>
          </w:p>
        </w:tc>
        <w:tc>
          <w:tcPr>
            <w:tcW w:w="1254" w:type="dxa"/>
            <w:vAlign w:val="center"/>
          </w:tcPr>
          <w:p>
            <w:pPr>
              <w:jc w:val="center"/>
              <w:rPr>
                <w:rFonts w:hint="eastAsia"/>
                <w:b/>
                <w:bCs/>
                <w:vertAlign w:val="baseline"/>
                <w:lang w:val="en-US" w:eastAsia="zh-CN"/>
              </w:rPr>
            </w:pPr>
            <w:r>
              <w:rPr>
                <w:rFonts w:hint="eastAsia"/>
                <w:b/>
                <w:bCs/>
                <w:vertAlign w:val="baseline"/>
                <w:lang w:val="en-US" w:eastAsia="zh-CN"/>
              </w:rPr>
              <w:t>完成任务（批次）</w:t>
            </w:r>
          </w:p>
        </w:tc>
        <w:tc>
          <w:tcPr>
            <w:tcW w:w="1254" w:type="dxa"/>
            <w:vAlign w:val="center"/>
          </w:tcPr>
          <w:p>
            <w:pPr>
              <w:jc w:val="center"/>
              <w:rPr>
                <w:rFonts w:hint="eastAsia"/>
                <w:b/>
                <w:bCs/>
                <w:vertAlign w:val="baseline"/>
                <w:lang w:val="en-US" w:eastAsia="zh-CN"/>
              </w:rPr>
            </w:pPr>
            <w:r>
              <w:rPr>
                <w:rFonts w:hint="eastAsia"/>
                <w:b/>
                <w:bCs/>
                <w:vertAlign w:val="baseline"/>
                <w:lang w:val="en-US" w:eastAsia="zh-CN"/>
              </w:rPr>
              <w:t>完成比率%</w:t>
            </w:r>
          </w:p>
        </w:tc>
        <w:tc>
          <w:tcPr>
            <w:tcW w:w="1254" w:type="dxa"/>
            <w:vAlign w:val="center"/>
          </w:tcPr>
          <w:p>
            <w:pPr>
              <w:jc w:val="center"/>
              <w:rPr>
                <w:rFonts w:hint="eastAsia"/>
                <w:b/>
                <w:bCs/>
                <w:vertAlign w:val="baseline"/>
                <w:lang w:val="en-US" w:eastAsia="zh-CN"/>
              </w:rPr>
            </w:pPr>
            <w:r>
              <w:rPr>
                <w:rFonts w:hint="eastAsia"/>
                <w:b/>
                <w:bCs/>
                <w:vertAlign w:val="baseline"/>
                <w:lang w:val="en-US" w:eastAsia="zh-CN"/>
              </w:rPr>
              <w:t>合格率%</w:t>
            </w:r>
          </w:p>
        </w:tc>
        <w:tc>
          <w:tcPr>
            <w:tcW w:w="1254" w:type="dxa"/>
            <w:vAlign w:val="center"/>
          </w:tcPr>
          <w:p>
            <w:pPr>
              <w:jc w:val="center"/>
              <w:rPr>
                <w:rFonts w:hint="eastAsia"/>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1</w:t>
            </w:r>
          </w:p>
        </w:tc>
        <w:tc>
          <w:tcPr>
            <w:tcW w:w="1815" w:type="dxa"/>
            <w:vAlign w:val="center"/>
          </w:tcPr>
          <w:p>
            <w:pPr>
              <w:jc w:val="center"/>
              <w:rPr>
                <w:rFonts w:hint="eastAsia"/>
                <w:vertAlign w:val="baseline"/>
                <w:lang w:val="en-US" w:eastAsia="zh-CN"/>
              </w:rPr>
            </w:pPr>
            <w:r>
              <w:rPr>
                <w:rFonts w:hint="eastAsia"/>
                <w:vertAlign w:val="baseline"/>
                <w:lang w:val="en-US" w:eastAsia="zh-CN"/>
              </w:rPr>
              <w:t>州本级</w:t>
            </w:r>
          </w:p>
        </w:tc>
        <w:tc>
          <w:tcPr>
            <w:tcW w:w="1272" w:type="dxa"/>
            <w:vAlign w:val="center"/>
          </w:tcPr>
          <w:p>
            <w:pPr>
              <w:jc w:val="center"/>
              <w:rPr>
                <w:rFonts w:hint="eastAsia"/>
                <w:vertAlign w:val="baseline"/>
                <w:lang w:val="en-US" w:eastAsia="zh-CN"/>
              </w:rPr>
            </w:pPr>
            <w:r>
              <w:rPr>
                <w:rFonts w:hint="eastAsia"/>
                <w:vertAlign w:val="baseline"/>
                <w:lang w:val="en-US" w:eastAsia="zh-CN"/>
              </w:rPr>
              <w:t>1174</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r>
              <w:rPr>
                <w:rFonts w:hint="eastAsia"/>
                <w:vertAlign w:val="baseline"/>
                <w:lang w:val="en-US" w:eastAsia="zh-CN"/>
              </w:rPr>
              <w:t>881</w:t>
            </w: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2</w:t>
            </w:r>
          </w:p>
        </w:tc>
        <w:tc>
          <w:tcPr>
            <w:tcW w:w="1815" w:type="dxa"/>
            <w:vAlign w:val="center"/>
          </w:tcPr>
          <w:p>
            <w:pPr>
              <w:jc w:val="center"/>
              <w:rPr>
                <w:rFonts w:hint="eastAsia"/>
                <w:vertAlign w:val="baseline"/>
                <w:lang w:val="en-US" w:eastAsia="zh-CN"/>
              </w:rPr>
            </w:pPr>
            <w:r>
              <w:rPr>
                <w:rFonts w:hint="eastAsia"/>
                <w:vertAlign w:val="baseline"/>
                <w:lang w:val="en-US" w:eastAsia="zh-CN"/>
              </w:rPr>
              <w:t>伊宁市</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856</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3</w:t>
            </w:r>
          </w:p>
        </w:tc>
        <w:tc>
          <w:tcPr>
            <w:tcW w:w="1815" w:type="dxa"/>
            <w:vAlign w:val="center"/>
          </w:tcPr>
          <w:p>
            <w:pPr>
              <w:jc w:val="center"/>
              <w:rPr>
                <w:rFonts w:hint="eastAsia"/>
                <w:vertAlign w:val="baseline"/>
                <w:lang w:val="en-US" w:eastAsia="zh-CN"/>
              </w:rPr>
            </w:pPr>
            <w:r>
              <w:rPr>
                <w:rFonts w:hint="eastAsia"/>
                <w:vertAlign w:val="baseline"/>
                <w:lang w:val="en-US" w:eastAsia="zh-CN"/>
              </w:rPr>
              <w:t>奎屯市</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435</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4</w:t>
            </w:r>
          </w:p>
        </w:tc>
        <w:tc>
          <w:tcPr>
            <w:tcW w:w="1815" w:type="dxa"/>
            <w:vAlign w:val="center"/>
          </w:tcPr>
          <w:p>
            <w:pPr>
              <w:jc w:val="center"/>
              <w:rPr>
                <w:rFonts w:hint="eastAsia"/>
                <w:vertAlign w:val="baseline"/>
                <w:lang w:val="en-US" w:eastAsia="zh-CN"/>
              </w:rPr>
            </w:pPr>
            <w:r>
              <w:rPr>
                <w:rFonts w:hint="eastAsia"/>
                <w:vertAlign w:val="baseline"/>
                <w:lang w:val="en-US" w:eastAsia="zh-CN"/>
              </w:rPr>
              <w:t>霍尔果斯市</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96</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5</w:t>
            </w:r>
          </w:p>
        </w:tc>
        <w:tc>
          <w:tcPr>
            <w:tcW w:w="1815" w:type="dxa"/>
            <w:vAlign w:val="center"/>
          </w:tcPr>
          <w:p>
            <w:pPr>
              <w:jc w:val="center"/>
              <w:rPr>
                <w:rFonts w:hint="eastAsia"/>
                <w:vertAlign w:val="baseline"/>
                <w:lang w:val="en-US" w:eastAsia="zh-CN"/>
              </w:rPr>
            </w:pPr>
            <w:r>
              <w:rPr>
                <w:rFonts w:hint="eastAsia"/>
                <w:vertAlign w:val="baseline"/>
                <w:lang w:val="en-US" w:eastAsia="zh-CN"/>
              </w:rPr>
              <w:t>伊宁县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637</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6</w:t>
            </w:r>
          </w:p>
        </w:tc>
        <w:tc>
          <w:tcPr>
            <w:tcW w:w="1815" w:type="dxa"/>
            <w:vAlign w:val="center"/>
          </w:tcPr>
          <w:p>
            <w:pPr>
              <w:jc w:val="center"/>
              <w:rPr>
                <w:rFonts w:hint="eastAsia"/>
                <w:vertAlign w:val="baseline"/>
                <w:lang w:val="en-US" w:eastAsia="zh-CN"/>
              </w:rPr>
            </w:pPr>
            <w:r>
              <w:rPr>
                <w:rFonts w:hint="eastAsia"/>
                <w:vertAlign w:val="baseline"/>
                <w:lang w:val="en-US" w:eastAsia="zh-CN"/>
              </w:rPr>
              <w:t>察布查尔县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291</w:t>
            </w:r>
          </w:p>
        </w:tc>
        <w:tc>
          <w:tcPr>
            <w:tcW w:w="1272" w:type="dxa"/>
            <w:vAlign w:val="center"/>
          </w:tcPr>
          <w:p>
            <w:pPr>
              <w:jc w:val="center"/>
              <w:rPr>
                <w:rFonts w:hint="default"/>
                <w:vertAlign w:val="baseline"/>
                <w:lang w:val="en-US" w:eastAsia="zh-CN"/>
              </w:rPr>
            </w:pPr>
          </w:p>
        </w:tc>
        <w:tc>
          <w:tcPr>
            <w:tcW w:w="1273" w:type="dxa"/>
            <w:vAlign w:val="center"/>
          </w:tcPr>
          <w:p>
            <w:pPr>
              <w:jc w:val="center"/>
              <w:rPr>
                <w:rFonts w:hint="default"/>
                <w:vertAlign w:val="baseline"/>
                <w:lang w:val="en-US" w:eastAsia="zh-CN"/>
              </w:rPr>
            </w:pPr>
          </w:p>
        </w:tc>
        <w:tc>
          <w:tcPr>
            <w:tcW w:w="1272" w:type="dxa"/>
            <w:vAlign w:val="center"/>
          </w:tcPr>
          <w:p>
            <w:pPr>
              <w:jc w:val="center"/>
              <w:rPr>
                <w:rFonts w:hint="default"/>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7</w:t>
            </w:r>
          </w:p>
        </w:tc>
        <w:tc>
          <w:tcPr>
            <w:tcW w:w="1815" w:type="dxa"/>
            <w:vAlign w:val="center"/>
          </w:tcPr>
          <w:p>
            <w:pPr>
              <w:jc w:val="center"/>
              <w:rPr>
                <w:rFonts w:hint="eastAsia"/>
                <w:vertAlign w:val="baseline"/>
                <w:lang w:val="en-US" w:eastAsia="zh-CN"/>
              </w:rPr>
            </w:pPr>
            <w:r>
              <w:rPr>
                <w:rFonts w:hint="eastAsia"/>
                <w:vertAlign w:val="baseline"/>
                <w:lang w:val="en-US" w:eastAsia="zh-CN"/>
              </w:rPr>
              <w:t>霍城县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506</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8</w:t>
            </w:r>
          </w:p>
        </w:tc>
        <w:tc>
          <w:tcPr>
            <w:tcW w:w="1815" w:type="dxa"/>
            <w:vAlign w:val="center"/>
          </w:tcPr>
          <w:p>
            <w:pPr>
              <w:jc w:val="center"/>
              <w:rPr>
                <w:rFonts w:hint="eastAsia"/>
                <w:vertAlign w:val="baseline"/>
                <w:lang w:val="en-US" w:eastAsia="zh-CN"/>
              </w:rPr>
            </w:pPr>
            <w:r>
              <w:rPr>
                <w:rFonts w:hint="eastAsia"/>
                <w:vertAlign w:val="baseline"/>
                <w:lang w:val="en-US" w:eastAsia="zh-CN"/>
              </w:rPr>
              <w:t>巩留县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293</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9</w:t>
            </w:r>
          </w:p>
        </w:tc>
        <w:tc>
          <w:tcPr>
            <w:tcW w:w="1815" w:type="dxa"/>
            <w:vAlign w:val="center"/>
          </w:tcPr>
          <w:p>
            <w:pPr>
              <w:jc w:val="center"/>
              <w:rPr>
                <w:rFonts w:hint="eastAsia"/>
                <w:vertAlign w:val="baseline"/>
                <w:lang w:val="en-US" w:eastAsia="zh-CN"/>
              </w:rPr>
            </w:pPr>
            <w:r>
              <w:rPr>
                <w:rFonts w:hint="eastAsia"/>
                <w:vertAlign w:val="baseline"/>
                <w:lang w:val="en-US" w:eastAsia="zh-CN"/>
              </w:rPr>
              <w:t>新源县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475</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10</w:t>
            </w:r>
          </w:p>
        </w:tc>
        <w:tc>
          <w:tcPr>
            <w:tcW w:w="1815" w:type="dxa"/>
            <w:vAlign w:val="center"/>
          </w:tcPr>
          <w:p>
            <w:pPr>
              <w:jc w:val="center"/>
              <w:rPr>
                <w:rFonts w:hint="eastAsia"/>
                <w:vertAlign w:val="baseline"/>
                <w:lang w:val="en-US" w:eastAsia="zh-CN"/>
              </w:rPr>
            </w:pPr>
            <w:r>
              <w:rPr>
                <w:rFonts w:hint="eastAsia"/>
                <w:vertAlign w:val="baseline"/>
                <w:lang w:val="en-US" w:eastAsia="zh-CN"/>
              </w:rPr>
              <w:t>昭苏县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271</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11</w:t>
            </w:r>
          </w:p>
        </w:tc>
        <w:tc>
          <w:tcPr>
            <w:tcW w:w="1815" w:type="dxa"/>
            <w:vAlign w:val="center"/>
          </w:tcPr>
          <w:p>
            <w:pPr>
              <w:jc w:val="center"/>
              <w:rPr>
                <w:rFonts w:hint="eastAsia"/>
                <w:vertAlign w:val="baseline"/>
                <w:lang w:val="en-US" w:eastAsia="zh-CN"/>
              </w:rPr>
            </w:pPr>
            <w:r>
              <w:rPr>
                <w:rFonts w:hint="eastAsia"/>
                <w:vertAlign w:val="baseline"/>
                <w:lang w:val="en-US" w:eastAsia="zh-CN"/>
              </w:rPr>
              <w:t>特克斯县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253</w:t>
            </w: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r>
              <w:rPr>
                <w:rFonts w:hint="eastAsia"/>
                <w:vertAlign w:val="baseline"/>
                <w:lang w:val="en-US" w:eastAsia="zh-CN"/>
              </w:rPr>
              <w:t>12</w:t>
            </w:r>
          </w:p>
        </w:tc>
        <w:tc>
          <w:tcPr>
            <w:tcW w:w="1815" w:type="dxa"/>
            <w:vAlign w:val="center"/>
          </w:tcPr>
          <w:p>
            <w:pPr>
              <w:jc w:val="center"/>
              <w:rPr>
                <w:rFonts w:hint="eastAsia"/>
                <w:vertAlign w:val="baseline"/>
                <w:lang w:val="en-US" w:eastAsia="zh-CN"/>
              </w:rPr>
            </w:pPr>
            <w:r>
              <w:rPr>
                <w:rFonts w:hint="eastAsia"/>
                <w:vertAlign w:val="baseline"/>
                <w:lang w:val="en-US" w:eastAsia="zh-CN"/>
              </w:rPr>
              <w:t>尼勒克县</w:t>
            </w:r>
          </w:p>
        </w:tc>
        <w:tc>
          <w:tcPr>
            <w:tcW w:w="1272" w:type="dxa"/>
            <w:vAlign w:val="center"/>
          </w:tcPr>
          <w:p>
            <w:pPr>
              <w:keepNext w:val="0"/>
              <w:keepLines w:val="0"/>
              <w:widowControl/>
              <w:suppressLineNumbers w:val="0"/>
              <w:jc w:val="center"/>
              <w:textAlignment w:val="center"/>
              <w:rPr>
                <w:rFonts w:hint="eastAsia"/>
                <w:vertAlign w:val="baseline"/>
                <w:lang w:val="en-US" w:eastAsia="zh-CN"/>
              </w:rPr>
            </w:pPr>
            <w:r>
              <w:rPr>
                <w:rFonts w:hint="default" w:ascii="Times New Roman" w:hAnsi="Times New Roman" w:eastAsia="宋体" w:cs="Times New Roman"/>
                <w:i w:val="0"/>
                <w:color w:val="000000"/>
                <w:kern w:val="0"/>
                <w:sz w:val="20"/>
                <w:szCs w:val="20"/>
                <w:u w:val="none"/>
                <w:lang w:val="en-US" w:eastAsia="zh-CN" w:bidi="ar"/>
              </w:rPr>
              <w:t>272</w:t>
            </w:r>
          </w:p>
        </w:tc>
        <w:tc>
          <w:tcPr>
            <w:tcW w:w="1272" w:type="dxa"/>
            <w:vAlign w:val="center"/>
          </w:tcPr>
          <w:p>
            <w:pPr>
              <w:jc w:val="center"/>
              <w:rPr>
                <w:rFonts w:hint="default"/>
                <w:vertAlign w:val="baseline"/>
                <w:lang w:val="en-US" w:eastAsia="zh-CN"/>
              </w:rPr>
            </w:pPr>
            <w:r>
              <w:rPr>
                <w:rFonts w:hint="eastAsia"/>
                <w:vertAlign w:val="baseline"/>
                <w:lang w:val="en-US" w:eastAsia="zh-CN"/>
              </w:rPr>
              <w:t>272</w:t>
            </w:r>
          </w:p>
        </w:tc>
        <w:tc>
          <w:tcPr>
            <w:tcW w:w="1273" w:type="dxa"/>
            <w:vAlign w:val="center"/>
          </w:tcPr>
          <w:p>
            <w:pPr>
              <w:jc w:val="center"/>
              <w:rPr>
                <w:rFonts w:hint="default"/>
                <w:vertAlign w:val="baseline"/>
                <w:lang w:val="en-US" w:eastAsia="zh-CN"/>
              </w:rPr>
            </w:pPr>
            <w:r>
              <w:rPr>
                <w:rFonts w:hint="eastAsia"/>
                <w:vertAlign w:val="baseline"/>
                <w:lang w:val="en-US" w:eastAsia="zh-CN"/>
              </w:rPr>
              <w:t>100%</w:t>
            </w:r>
          </w:p>
        </w:tc>
        <w:tc>
          <w:tcPr>
            <w:tcW w:w="1272" w:type="dxa"/>
            <w:vAlign w:val="center"/>
          </w:tcPr>
          <w:p>
            <w:pPr>
              <w:jc w:val="center"/>
              <w:rPr>
                <w:rFonts w:hint="default"/>
                <w:vertAlign w:val="baseline"/>
                <w:lang w:val="en-US" w:eastAsia="zh-CN"/>
              </w:rPr>
            </w:pPr>
            <w:r>
              <w:rPr>
                <w:rFonts w:hint="eastAsia"/>
                <w:vertAlign w:val="baseline"/>
                <w:lang w:val="en-US" w:eastAsia="zh-CN"/>
              </w:rPr>
              <w:t>99.3%</w:t>
            </w:r>
          </w:p>
        </w:tc>
        <w:tc>
          <w:tcPr>
            <w:tcW w:w="1272" w:type="dxa"/>
            <w:vAlign w:val="center"/>
          </w:tcPr>
          <w:p>
            <w:pPr>
              <w:jc w:val="center"/>
              <w:rPr>
                <w:rFonts w:hint="eastAsia"/>
                <w:vertAlign w:val="baseline"/>
                <w:lang w:val="en-US" w:eastAsia="zh-CN"/>
              </w:rPr>
            </w:pPr>
            <w:bookmarkStart w:id="0" w:name="_GoBack"/>
            <w:bookmarkEnd w:id="0"/>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28" w:type="dxa"/>
            <w:vAlign w:val="center"/>
          </w:tcPr>
          <w:p>
            <w:pPr>
              <w:jc w:val="center"/>
              <w:rPr>
                <w:rFonts w:hint="eastAsia"/>
                <w:vertAlign w:val="baseline"/>
                <w:lang w:val="en-US" w:eastAsia="zh-CN"/>
              </w:rPr>
            </w:pPr>
          </w:p>
        </w:tc>
        <w:tc>
          <w:tcPr>
            <w:tcW w:w="1815"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28" w:type="dxa"/>
            <w:vAlign w:val="center"/>
          </w:tcPr>
          <w:p>
            <w:pPr>
              <w:jc w:val="center"/>
              <w:rPr>
                <w:rFonts w:hint="eastAsia"/>
                <w:vertAlign w:val="baseline"/>
                <w:lang w:val="en-US" w:eastAsia="zh-CN"/>
              </w:rPr>
            </w:pPr>
          </w:p>
        </w:tc>
        <w:tc>
          <w:tcPr>
            <w:tcW w:w="1815"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3"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72"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c>
          <w:tcPr>
            <w:tcW w:w="1254" w:type="dxa"/>
            <w:vAlign w:val="center"/>
          </w:tcPr>
          <w:p>
            <w:pPr>
              <w:jc w:val="center"/>
              <w:rPr>
                <w:rFonts w:hint="eastAsia"/>
                <w:vertAlign w:val="baseline"/>
                <w:lang w:val="en-US" w:eastAsia="zh-CN"/>
              </w:rPr>
            </w:pPr>
          </w:p>
        </w:tc>
      </w:tr>
    </w:tbl>
    <w:p>
      <w:pPr>
        <w:rPr>
          <w:rFonts w:hint="eastAsia"/>
          <w:lang w:val="en-US" w:eastAsia="zh-CN"/>
        </w:rPr>
      </w:pPr>
      <w:r>
        <w:rPr>
          <w:rFonts w:hint="eastAsia"/>
          <w:lang w:val="en-US" w:eastAsia="zh-CN"/>
        </w:rPr>
        <w:t>注：县市局不用填写餐饮食品抽检情况统计</w:t>
      </w:r>
    </w:p>
    <w:p>
      <w:pPr>
        <w:rPr>
          <w:rFonts w:hint="eastAsia"/>
          <w:lang w:val="en-US" w:eastAsia="zh-CN"/>
        </w:rPr>
      </w:pPr>
      <w:r>
        <w:rPr>
          <w:rFonts w:hint="eastAsia"/>
          <w:lang w:val="en-US" w:eastAsia="zh-CN"/>
        </w:rPr>
        <w:t xml:space="preserve">    已完成抽检任务的单位请上报抽检情况分析报告；未完成抽检任务的按照区局统一要求在规定的时间内上报抽检情况统计报告，最迟不超过11月底。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86A34"/>
    <w:rsid w:val="28786A34"/>
    <w:rsid w:val="777A032D"/>
    <w:rsid w:val="7E1F5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2021-10-23T03:50:00Z</dcterms:created>
  <dc:creator>彭万春</dc:creator>
  <cp:lastModifiedBy>Administrator</cp:lastModifiedBy>
  <dcterms:modified xsi:type="dcterms:W3CDTF">2021-10-23T11:27:19Z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