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b/>
          <w:bCs/>
          <w:sz w:val="28"/>
          <w:szCs w:val="28"/>
          <w:lang w:val="en-US" w:eastAsia="zh-CN"/>
        </w:rPr>
        <w:t>项目名称：</w:t>
      </w:r>
      <w:bookmarkStart w:id="0" w:name="_GoBack"/>
      <w:r>
        <w:rPr>
          <w:rFonts w:hint="eastAsia"/>
          <w:sz w:val="28"/>
          <w:szCs w:val="28"/>
          <w:lang w:val="en-US" w:eastAsia="zh-CN"/>
        </w:rPr>
        <w:t>温泉电站库尾防护工程（第一标段）</w:t>
      </w:r>
      <w:bookmarkEnd w:id="0"/>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尼勒克县水利服务站</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伊犁金兴水利水电建筑安装有限责任公司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0263193A"/>
    <w:rsid w:val="08EE375D"/>
    <w:rsid w:val="2C9B6DDD"/>
    <w:rsid w:val="328C0BD2"/>
    <w:rsid w:val="33746006"/>
    <w:rsid w:val="35DA64F8"/>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cp:lastPrinted>2026-02-06T05:07:17Z</cp:lastPrinted>
  <dcterms:modified xsi:type="dcterms:W3CDTF">2026-02-06T05:15:25Z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