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93575">
      <w:pPr>
        <w:adjustRightInd w:val="0"/>
        <w:snapToGrid w:val="0"/>
        <w:jc w:val="center"/>
        <w:rPr>
          <w:rFonts w:hint="eastAsia" w:ascii="方正小标宋_GBK" w:hAnsi="黑体" w:eastAsia="方正小标宋_GBK"/>
          <w:color w:val="auto"/>
          <w:sz w:val="38"/>
          <w:szCs w:val="38"/>
        </w:rPr>
      </w:pPr>
      <w:r>
        <w:rPr>
          <w:rFonts w:hint="eastAsia" w:ascii="方正小标宋_GBK" w:hAnsi="黑体" w:eastAsia="方正小标宋_GBK"/>
          <w:color w:val="auto"/>
          <w:sz w:val="38"/>
          <w:szCs w:val="38"/>
        </w:rPr>
        <w:t>污染源简单事项现场“一表通查”记录表</w:t>
      </w:r>
    </w:p>
    <w:p w14:paraId="55D0D409">
      <w:pPr>
        <w:keepNext w:val="0"/>
        <w:keepLines w:val="0"/>
        <w:pageBreakBefore w:val="0"/>
        <w:widowControl w:val="0"/>
        <w:kinsoku/>
        <w:wordWrap/>
        <w:overflowPunct/>
        <w:topLinePunct w:val="0"/>
        <w:autoSpaceDE/>
        <w:autoSpaceDN/>
        <w:bidi w:val="0"/>
        <w:adjustRightInd/>
        <w:snapToGrid/>
        <w:spacing w:line="240" w:lineRule="auto"/>
        <w:ind w:right="0"/>
        <w:jc w:val="left"/>
        <w:textAlignment w:val="auto"/>
        <w:outlineLvl w:val="9"/>
        <w:rPr>
          <w:rFonts w:hint="eastAsia"/>
          <w:szCs w:val="22"/>
          <w:vertAlign w:val="baseline"/>
          <w:lang w:val="en-US" w:eastAsia="zh-CN"/>
        </w:rPr>
      </w:pPr>
      <w:r>
        <w:rPr>
          <w:rFonts w:hint="eastAsia"/>
          <w:szCs w:val="22"/>
          <w:vertAlign w:val="baseline"/>
          <w:lang w:val="en-US" w:eastAsia="zh-CN"/>
        </w:rPr>
        <w:t>执法机构：伊犁哈萨克自治州生态环境局尼勒克县分局</w:t>
      </w:r>
    </w:p>
    <w:tbl>
      <w:tblPr>
        <w:tblStyle w:val="1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238"/>
        <w:gridCol w:w="84"/>
        <w:gridCol w:w="1283"/>
        <w:gridCol w:w="1365"/>
        <w:gridCol w:w="240"/>
        <w:gridCol w:w="4"/>
        <w:gridCol w:w="962"/>
        <w:gridCol w:w="639"/>
        <w:gridCol w:w="242"/>
        <w:gridCol w:w="1363"/>
        <w:gridCol w:w="404"/>
        <w:gridCol w:w="1206"/>
        <w:gridCol w:w="3"/>
      </w:tblGrid>
      <w:tr w14:paraId="7B0F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3" w:type="dxa"/>
            <w:gridSpan w:val="2"/>
            <w:vAlign w:val="center"/>
          </w:tcPr>
          <w:p w14:paraId="0ACBF40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eastAsia="宋体"/>
                <w:vertAlign w:val="baseline"/>
                <w:lang w:val="en-US" w:eastAsia="zh-CN"/>
              </w:rPr>
            </w:pPr>
            <w:r>
              <w:rPr>
                <w:rFonts w:hint="eastAsia"/>
                <w:vertAlign w:val="baseline"/>
                <w:lang w:val="en-US" w:eastAsia="zh-CN"/>
              </w:rPr>
              <w:t>检查时间</w:t>
            </w:r>
          </w:p>
        </w:tc>
        <w:tc>
          <w:tcPr>
            <w:tcW w:w="2976" w:type="dxa"/>
            <w:gridSpan w:val="5"/>
            <w:vAlign w:val="center"/>
          </w:tcPr>
          <w:p w14:paraId="15231DF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1843" w:type="dxa"/>
            <w:gridSpan w:val="3"/>
            <w:vAlign w:val="center"/>
          </w:tcPr>
          <w:p w14:paraId="3E59658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结束时间</w:t>
            </w:r>
          </w:p>
        </w:tc>
        <w:tc>
          <w:tcPr>
            <w:tcW w:w="2976" w:type="dxa"/>
            <w:gridSpan w:val="4"/>
            <w:vAlign w:val="center"/>
          </w:tcPr>
          <w:p w14:paraId="2771842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3AE9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3" w:type="dxa"/>
            <w:gridSpan w:val="2"/>
            <w:vAlign w:val="center"/>
          </w:tcPr>
          <w:p w14:paraId="410AE04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vertAlign w:val="baseline"/>
                <w:lang w:val="en-US" w:eastAsia="zh-CN"/>
              </w:rPr>
            </w:pPr>
            <w:r>
              <w:rPr>
                <w:rFonts w:hint="eastAsia" w:ascii="宋体" w:hAnsi="宋体"/>
                <w:szCs w:val="21"/>
                <w:highlight w:val="none"/>
              </w:rPr>
              <w:t>排污单位名称</w:t>
            </w:r>
          </w:p>
        </w:tc>
        <w:tc>
          <w:tcPr>
            <w:tcW w:w="2976" w:type="dxa"/>
            <w:gridSpan w:val="5"/>
            <w:vAlign w:val="center"/>
          </w:tcPr>
          <w:p w14:paraId="104BC0B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1843" w:type="dxa"/>
            <w:gridSpan w:val="3"/>
            <w:vAlign w:val="center"/>
          </w:tcPr>
          <w:p w14:paraId="3D54EA2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统一社会信用代码</w:t>
            </w:r>
          </w:p>
        </w:tc>
        <w:tc>
          <w:tcPr>
            <w:tcW w:w="2976" w:type="dxa"/>
            <w:gridSpan w:val="4"/>
            <w:vAlign w:val="center"/>
          </w:tcPr>
          <w:p w14:paraId="11E3C1D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6C73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3" w:type="dxa"/>
            <w:gridSpan w:val="2"/>
            <w:vAlign w:val="center"/>
          </w:tcPr>
          <w:p w14:paraId="28D8797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ascii="宋体" w:hAnsi="宋体"/>
                <w:szCs w:val="21"/>
                <w:highlight w:val="none"/>
              </w:rPr>
            </w:pPr>
            <w:r>
              <w:rPr>
                <w:rFonts w:hint="eastAsia" w:ascii="宋体" w:hAnsi="宋体"/>
                <w:szCs w:val="21"/>
                <w:highlight w:val="none"/>
              </w:rPr>
              <w:t>地址</w:t>
            </w:r>
          </w:p>
        </w:tc>
        <w:tc>
          <w:tcPr>
            <w:tcW w:w="7795" w:type="dxa"/>
            <w:gridSpan w:val="12"/>
            <w:vAlign w:val="center"/>
          </w:tcPr>
          <w:p w14:paraId="5D3DFA5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vertAlign w:val="baseline"/>
                <w:lang w:val="en"/>
              </w:rPr>
            </w:pPr>
          </w:p>
        </w:tc>
      </w:tr>
      <w:tr w14:paraId="0376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3" w:type="dxa"/>
            <w:gridSpan w:val="2"/>
            <w:vAlign w:val="center"/>
          </w:tcPr>
          <w:p w14:paraId="76C6B13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vertAlign w:val="baseline"/>
                <w:lang w:val="en"/>
              </w:rPr>
            </w:pPr>
            <w:r>
              <w:rPr>
                <w:rFonts w:hint="eastAsia" w:ascii="宋体" w:hAnsi="宋体"/>
                <w:szCs w:val="21"/>
                <w:highlight w:val="none"/>
              </w:rPr>
              <w:t>行业类别</w:t>
            </w:r>
          </w:p>
        </w:tc>
        <w:tc>
          <w:tcPr>
            <w:tcW w:w="2976" w:type="dxa"/>
            <w:gridSpan w:val="5"/>
            <w:vAlign w:val="center"/>
          </w:tcPr>
          <w:p w14:paraId="2DB9D2A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vertAlign w:val="baseline"/>
                <w:lang w:val="en"/>
              </w:rPr>
            </w:pPr>
          </w:p>
        </w:tc>
        <w:tc>
          <w:tcPr>
            <w:tcW w:w="1843" w:type="dxa"/>
            <w:gridSpan w:val="3"/>
            <w:vAlign w:val="center"/>
          </w:tcPr>
          <w:p w14:paraId="2C5DE9F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vertAlign w:val="baseline"/>
                <w:lang w:val="en"/>
              </w:rPr>
            </w:pPr>
            <w:r>
              <w:rPr>
                <w:rFonts w:hint="eastAsia" w:ascii="宋体" w:hAnsi="宋体"/>
                <w:szCs w:val="21"/>
                <w:highlight w:val="none"/>
              </w:rPr>
              <w:t>法人代表</w:t>
            </w:r>
          </w:p>
        </w:tc>
        <w:tc>
          <w:tcPr>
            <w:tcW w:w="2976" w:type="dxa"/>
            <w:gridSpan w:val="4"/>
            <w:vAlign w:val="center"/>
          </w:tcPr>
          <w:p w14:paraId="47E7242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vertAlign w:val="baseline"/>
                <w:lang w:val="en"/>
              </w:rPr>
            </w:pPr>
          </w:p>
        </w:tc>
      </w:tr>
      <w:tr w14:paraId="1B7C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3" w:type="dxa"/>
            <w:gridSpan w:val="2"/>
            <w:vAlign w:val="center"/>
          </w:tcPr>
          <w:p w14:paraId="133D0CE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ascii="宋体" w:hAnsi="宋体"/>
                <w:szCs w:val="21"/>
                <w:highlight w:val="none"/>
              </w:rPr>
            </w:pPr>
            <w:r>
              <w:rPr>
                <w:rFonts w:hint="eastAsia" w:ascii="宋体" w:hAnsi="宋体"/>
                <w:szCs w:val="21"/>
                <w:highlight w:val="none"/>
              </w:rPr>
              <w:t>现场负责人</w:t>
            </w:r>
          </w:p>
        </w:tc>
        <w:tc>
          <w:tcPr>
            <w:tcW w:w="2976" w:type="dxa"/>
            <w:gridSpan w:val="5"/>
            <w:vAlign w:val="center"/>
          </w:tcPr>
          <w:p w14:paraId="1FE1BFA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vertAlign w:val="baseline"/>
                <w:lang w:val="en"/>
              </w:rPr>
            </w:pPr>
          </w:p>
        </w:tc>
        <w:tc>
          <w:tcPr>
            <w:tcW w:w="1843" w:type="dxa"/>
            <w:gridSpan w:val="3"/>
            <w:vAlign w:val="center"/>
          </w:tcPr>
          <w:p w14:paraId="78C1062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ascii="宋体" w:hAnsi="宋体"/>
                <w:szCs w:val="21"/>
                <w:highlight w:val="none"/>
              </w:rPr>
            </w:pPr>
            <w:r>
              <w:rPr>
                <w:rFonts w:hint="eastAsia" w:ascii="宋体" w:hAnsi="宋体"/>
                <w:szCs w:val="21"/>
                <w:highlight w:val="none"/>
              </w:rPr>
              <w:t>联系电话</w:t>
            </w:r>
          </w:p>
        </w:tc>
        <w:tc>
          <w:tcPr>
            <w:tcW w:w="2976" w:type="dxa"/>
            <w:gridSpan w:val="4"/>
            <w:vAlign w:val="center"/>
          </w:tcPr>
          <w:p w14:paraId="038F0D7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vertAlign w:val="baseline"/>
                <w:lang w:val="en"/>
              </w:rPr>
            </w:pPr>
          </w:p>
        </w:tc>
      </w:tr>
      <w:tr w14:paraId="4B21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3" w:type="dxa"/>
            <w:gridSpan w:val="2"/>
            <w:vAlign w:val="center"/>
          </w:tcPr>
          <w:p w14:paraId="011437C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生产状态</w:t>
            </w:r>
          </w:p>
        </w:tc>
        <w:tc>
          <w:tcPr>
            <w:tcW w:w="7795" w:type="dxa"/>
            <w:gridSpan w:val="12"/>
            <w:vAlign w:val="center"/>
          </w:tcPr>
          <w:p w14:paraId="4F35EF7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eastAsia="zh-CN"/>
              </w:rPr>
              <w:t>□</w:t>
            </w:r>
            <w:r>
              <w:rPr>
                <w:rFonts w:hint="eastAsia"/>
                <w:szCs w:val="22"/>
                <w:vertAlign w:val="baseline"/>
                <w:lang w:val="en"/>
              </w:rPr>
              <w:t>正常生产□停产□季节性停产□关闭</w:t>
            </w:r>
          </w:p>
        </w:tc>
      </w:tr>
      <w:tr w14:paraId="5207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3" w:type="dxa"/>
            <w:gridSpan w:val="2"/>
            <w:vAlign w:val="center"/>
          </w:tcPr>
          <w:p w14:paraId="0FDE6D8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排污许可类型</w:t>
            </w:r>
          </w:p>
        </w:tc>
        <w:tc>
          <w:tcPr>
            <w:tcW w:w="7795" w:type="dxa"/>
            <w:gridSpan w:val="12"/>
            <w:vAlign w:val="center"/>
          </w:tcPr>
          <w:p w14:paraId="6440565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□重点管理□简化管理</w:t>
            </w:r>
            <w:r>
              <w:rPr>
                <w:rFonts w:hint="eastAsia"/>
                <w:szCs w:val="22"/>
                <w:vertAlign w:val="baseline"/>
                <w:lang w:val="en" w:eastAsia="zh-CN"/>
              </w:rPr>
              <w:t>□</w:t>
            </w:r>
            <w:r>
              <w:rPr>
                <w:rFonts w:hint="eastAsia"/>
                <w:szCs w:val="22"/>
                <w:vertAlign w:val="baseline"/>
                <w:lang w:val="en"/>
              </w:rPr>
              <w:t>登记管理□不需纳入排污许可管理□无证排污</w:t>
            </w:r>
          </w:p>
        </w:tc>
      </w:tr>
      <w:tr w14:paraId="3B88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restart"/>
            <w:vAlign w:val="center"/>
          </w:tcPr>
          <w:p w14:paraId="2E5DF7D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环评及“三同</w:t>
            </w:r>
          </w:p>
          <w:p w14:paraId="777C9CC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时”执行情况</w:t>
            </w:r>
          </w:p>
        </w:tc>
        <w:tc>
          <w:tcPr>
            <w:tcW w:w="2648" w:type="dxa"/>
            <w:gridSpan w:val="2"/>
            <w:vAlign w:val="center"/>
          </w:tcPr>
          <w:p w14:paraId="0BFCA67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是否通过环评审批（备案）</w:t>
            </w:r>
          </w:p>
        </w:tc>
        <w:tc>
          <w:tcPr>
            <w:tcW w:w="1206" w:type="dxa"/>
            <w:gridSpan w:val="3"/>
            <w:vAlign w:val="center"/>
          </w:tcPr>
          <w:p w14:paraId="0B6B0D1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5C7E7C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Merge w:val="restart"/>
            <w:vAlign w:val="center"/>
          </w:tcPr>
          <w:p w14:paraId="506FA26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是否通过“三同时”验收</w:t>
            </w:r>
          </w:p>
        </w:tc>
        <w:tc>
          <w:tcPr>
            <w:tcW w:w="1206" w:type="dxa"/>
            <w:vMerge w:val="restart"/>
            <w:vAlign w:val="center"/>
          </w:tcPr>
          <w:p w14:paraId="4169EA6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29E4069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174A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continue"/>
            <w:vAlign w:val="center"/>
          </w:tcPr>
          <w:p w14:paraId="74BAD0E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3939C82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项目是否发生重大变动</w:t>
            </w:r>
          </w:p>
        </w:tc>
        <w:tc>
          <w:tcPr>
            <w:tcW w:w="1206" w:type="dxa"/>
            <w:gridSpan w:val="3"/>
            <w:vAlign w:val="center"/>
          </w:tcPr>
          <w:p w14:paraId="3378526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2FE01A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Merge w:val="continue"/>
            <w:vAlign w:val="center"/>
          </w:tcPr>
          <w:p w14:paraId="37C02B4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1206" w:type="dxa"/>
            <w:vMerge w:val="continue"/>
            <w:vAlign w:val="center"/>
          </w:tcPr>
          <w:p w14:paraId="4ABD6AF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471A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Align w:val="center"/>
          </w:tcPr>
          <w:p w14:paraId="1FC0C34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排污许可</w:t>
            </w:r>
          </w:p>
          <w:p w14:paraId="3482B4E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管理情况</w:t>
            </w:r>
          </w:p>
        </w:tc>
        <w:tc>
          <w:tcPr>
            <w:tcW w:w="2648" w:type="dxa"/>
            <w:gridSpan w:val="2"/>
            <w:vAlign w:val="center"/>
          </w:tcPr>
          <w:p w14:paraId="22A5EBC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现有主要生产设施是否与排污许可证一致</w:t>
            </w:r>
          </w:p>
        </w:tc>
        <w:tc>
          <w:tcPr>
            <w:tcW w:w="1206" w:type="dxa"/>
            <w:gridSpan w:val="3"/>
            <w:vAlign w:val="center"/>
          </w:tcPr>
          <w:p w14:paraId="53B0A6C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54A7409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124449B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是否降低管理等级</w:t>
            </w:r>
          </w:p>
        </w:tc>
        <w:tc>
          <w:tcPr>
            <w:tcW w:w="1206" w:type="dxa"/>
            <w:vAlign w:val="center"/>
          </w:tcPr>
          <w:p w14:paraId="3068D76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696BEA6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6190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Align w:val="center"/>
          </w:tcPr>
          <w:p w14:paraId="2A6DA18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执行报告及信息公开情况</w:t>
            </w:r>
          </w:p>
        </w:tc>
        <w:tc>
          <w:tcPr>
            <w:tcW w:w="2648" w:type="dxa"/>
            <w:gridSpan w:val="2"/>
            <w:vAlign w:val="center"/>
          </w:tcPr>
          <w:p w14:paraId="6769F02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是否按照排污许可证规定要求提交执行报告</w:t>
            </w:r>
          </w:p>
        </w:tc>
        <w:tc>
          <w:tcPr>
            <w:tcW w:w="1206" w:type="dxa"/>
            <w:gridSpan w:val="3"/>
            <w:vAlign w:val="center"/>
          </w:tcPr>
          <w:p w14:paraId="1549CC3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7F50BF8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25E53E5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是否按照排污许可证要求如实报告污染物排放行为或者污染物排放浓度、排放量、污染物排放变化情况等内容</w:t>
            </w:r>
          </w:p>
        </w:tc>
        <w:tc>
          <w:tcPr>
            <w:tcW w:w="1206" w:type="dxa"/>
            <w:vAlign w:val="center"/>
          </w:tcPr>
          <w:p w14:paraId="53019BF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6DE568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7B0F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restart"/>
            <w:vAlign w:val="center"/>
          </w:tcPr>
          <w:p w14:paraId="79E0610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自行监测</w:t>
            </w:r>
          </w:p>
          <w:p w14:paraId="1883062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执行情况</w:t>
            </w:r>
          </w:p>
        </w:tc>
        <w:tc>
          <w:tcPr>
            <w:tcW w:w="2648" w:type="dxa"/>
            <w:gridSpan w:val="2"/>
            <w:vAlign w:val="center"/>
          </w:tcPr>
          <w:p w14:paraId="4B08395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是否按照排污许可证规定制定自行监测方案</w:t>
            </w:r>
          </w:p>
        </w:tc>
        <w:tc>
          <w:tcPr>
            <w:tcW w:w="1206" w:type="dxa"/>
            <w:gridSpan w:val="3"/>
            <w:vAlign w:val="center"/>
          </w:tcPr>
          <w:p w14:paraId="5D9B349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2A3C931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5CB81F9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是否按照排污许可证规定和有关标准规范，开展自行监测</w:t>
            </w:r>
          </w:p>
        </w:tc>
        <w:tc>
          <w:tcPr>
            <w:tcW w:w="1206" w:type="dxa"/>
            <w:vAlign w:val="center"/>
          </w:tcPr>
          <w:p w14:paraId="22E8308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15457F7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640D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continue"/>
            <w:vAlign w:val="center"/>
          </w:tcPr>
          <w:p w14:paraId="3742D59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4459124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是否按要求保存原始监测记录</w:t>
            </w:r>
          </w:p>
        </w:tc>
        <w:tc>
          <w:tcPr>
            <w:tcW w:w="1206" w:type="dxa"/>
            <w:gridSpan w:val="3"/>
            <w:vAlign w:val="center"/>
          </w:tcPr>
          <w:p w14:paraId="0A97E63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620E5D6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54B3977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是否存在篡改、伪造自行监测数据</w:t>
            </w:r>
          </w:p>
        </w:tc>
        <w:tc>
          <w:tcPr>
            <w:tcW w:w="1206" w:type="dxa"/>
            <w:vAlign w:val="center"/>
          </w:tcPr>
          <w:p w14:paraId="4C743D2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0D91D23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353A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restart"/>
            <w:vAlign w:val="center"/>
          </w:tcPr>
          <w:p w14:paraId="7AB9FB3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环境管理台账记录制度情况</w:t>
            </w:r>
          </w:p>
        </w:tc>
        <w:tc>
          <w:tcPr>
            <w:tcW w:w="2648" w:type="dxa"/>
            <w:gridSpan w:val="2"/>
            <w:vAlign w:val="center"/>
          </w:tcPr>
          <w:p w14:paraId="3478390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是否建立环境管理台账记录制度</w:t>
            </w:r>
          </w:p>
        </w:tc>
        <w:tc>
          <w:tcPr>
            <w:tcW w:w="1206" w:type="dxa"/>
            <w:gridSpan w:val="3"/>
            <w:vAlign w:val="center"/>
          </w:tcPr>
          <w:p w14:paraId="5E5CEED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4347351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43C2C98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是否按照排污许可证规定记录</w:t>
            </w:r>
          </w:p>
        </w:tc>
        <w:tc>
          <w:tcPr>
            <w:tcW w:w="1206" w:type="dxa"/>
            <w:vAlign w:val="center"/>
          </w:tcPr>
          <w:p w14:paraId="00249C4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D2671A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6941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continue"/>
            <w:vAlign w:val="center"/>
          </w:tcPr>
          <w:p w14:paraId="136F6F6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28A6F6E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是否按要求保存环境管理台账记录</w:t>
            </w:r>
          </w:p>
        </w:tc>
        <w:tc>
          <w:tcPr>
            <w:tcW w:w="1206" w:type="dxa"/>
            <w:gridSpan w:val="3"/>
            <w:vAlign w:val="center"/>
          </w:tcPr>
          <w:p w14:paraId="6BCDD50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91C287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6213EE6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是否如实记录主要生产设施及污染防治设施运行情况或者污染物排放浓度、排放量</w:t>
            </w:r>
          </w:p>
        </w:tc>
        <w:tc>
          <w:tcPr>
            <w:tcW w:w="1206" w:type="dxa"/>
            <w:vAlign w:val="center"/>
          </w:tcPr>
          <w:p w14:paraId="53BE931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2E47BFF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3722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restart"/>
            <w:vAlign w:val="center"/>
          </w:tcPr>
          <w:p w14:paraId="2D42F3D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自动监控</w:t>
            </w:r>
          </w:p>
          <w:p w14:paraId="3E6C662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情况</w:t>
            </w:r>
          </w:p>
        </w:tc>
        <w:tc>
          <w:tcPr>
            <w:tcW w:w="6502" w:type="dxa"/>
            <w:gridSpan w:val="9"/>
            <w:vAlign w:val="center"/>
          </w:tcPr>
          <w:p w14:paraId="2474233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实施排污许可重点管理的排污单位是否依法安装、使用、维护污染物排放自动监测设备，并与生态环境主管部门的监控设备联网</w:t>
            </w:r>
          </w:p>
        </w:tc>
        <w:tc>
          <w:tcPr>
            <w:tcW w:w="1206" w:type="dxa"/>
            <w:vAlign w:val="center"/>
          </w:tcPr>
          <w:p w14:paraId="00A4B8A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75D9EB9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4B79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continue"/>
            <w:vAlign w:val="center"/>
          </w:tcPr>
          <w:p w14:paraId="793710E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6380664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自动监测设备传输数据异常时是否及时报告生态环境主管部门并进行检查修复</w:t>
            </w:r>
          </w:p>
        </w:tc>
        <w:tc>
          <w:tcPr>
            <w:tcW w:w="1206" w:type="dxa"/>
            <w:gridSpan w:val="3"/>
            <w:vAlign w:val="center"/>
          </w:tcPr>
          <w:p w14:paraId="74167CA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B59D4A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61B702D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是否存在损毁或者擅自移动、改变污染物排放自动监测设备</w:t>
            </w:r>
          </w:p>
        </w:tc>
        <w:tc>
          <w:tcPr>
            <w:tcW w:w="1206" w:type="dxa"/>
            <w:vAlign w:val="center"/>
          </w:tcPr>
          <w:p w14:paraId="7414262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473B0DA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4F3A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continue"/>
            <w:vAlign w:val="center"/>
          </w:tcPr>
          <w:p w14:paraId="394AF39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6502" w:type="dxa"/>
            <w:gridSpan w:val="9"/>
            <w:vAlign w:val="center"/>
          </w:tcPr>
          <w:p w14:paraId="4436C92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自动监测数据虚假标记：是否存在自动监测设备标记为故障或维护、校准等非正常情形，但经查存在虚假标记情形</w:t>
            </w:r>
          </w:p>
        </w:tc>
        <w:tc>
          <w:tcPr>
            <w:tcW w:w="1206" w:type="dxa"/>
            <w:vAlign w:val="center"/>
          </w:tcPr>
          <w:p w14:paraId="43F6CC8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1326F2A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1B71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continue"/>
            <w:vAlign w:val="center"/>
          </w:tcPr>
          <w:p w14:paraId="455A4E1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6502" w:type="dxa"/>
            <w:gridSpan w:val="9"/>
            <w:vAlign w:val="center"/>
          </w:tcPr>
          <w:p w14:paraId="606F0A15">
            <w:pPr>
              <w:keepNext w:val="0"/>
              <w:keepLines w:val="0"/>
              <w:pageBreakBefore w:val="0"/>
              <w:widowControl w:val="0"/>
              <w:kinsoku/>
              <w:wordWrap/>
              <w:overflowPunct/>
              <w:topLinePunct w:val="0"/>
              <w:autoSpaceDE/>
              <w:autoSpaceDN/>
              <w:bidi w:val="0"/>
              <w:adjustRightInd/>
              <w:snapToGrid/>
              <w:spacing w:line="240" w:lineRule="auto"/>
              <w:ind w:right="0"/>
              <w:jc w:val="left"/>
              <w:textAlignment w:val="auto"/>
              <w:outlineLvl w:val="9"/>
              <w:rPr>
                <w:rFonts w:hint="eastAsia"/>
                <w:szCs w:val="22"/>
                <w:vertAlign w:val="baseline"/>
                <w:lang w:val="en"/>
              </w:rPr>
            </w:pPr>
            <w:r>
              <w:rPr>
                <w:rFonts w:hint="eastAsia"/>
                <w:szCs w:val="22"/>
                <w:vertAlign w:val="baseline"/>
                <w:lang w:val="en"/>
              </w:rPr>
              <w:t>自动监测设备运行维护是否规范（是否存在违反（HJ75-2017）（HJ76-2017）《固定污染源废气 非甲烷总烃连续监测技术规范》（HJ1286-2023）要求，但尚不构成弄虚作假或不正常运行自动监测设备环境违法行为的情形，具体情形如下：</w:t>
            </w:r>
          </w:p>
          <w:p w14:paraId="4D5B4FF9">
            <w:pPr>
              <w:keepNext w:val="0"/>
              <w:keepLines w:val="0"/>
              <w:pageBreakBefore w:val="0"/>
              <w:widowControl w:val="0"/>
              <w:kinsoku/>
              <w:wordWrap/>
              <w:overflowPunct/>
              <w:topLinePunct w:val="0"/>
              <w:autoSpaceDE/>
              <w:autoSpaceDN/>
              <w:bidi w:val="0"/>
              <w:adjustRightInd/>
              <w:snapToGrid/>
              <w:spacing w:line="240" w:lineRule="auto"/>
              <w:ind w:right="0"/>
              <w:jc w:val="left"/>
              <w:textAlignment w:val="auto"/>
              <w:outlineLvl w:val="9"/>
              <w:rPr>
                <w:rFonts w:hint="eastAsia"/>
                <w:szCs w:val="22"/>
                <w:vertAlign w:val="baseline"/>
                <w:lang w:val="en"/>
              </w:rPr>
            </w:pPr>
            <w:r>
              <w:rPr>
                <w:rFonts w:hint="eastAsia"/>
                <w:szCs w:val="22"/>
                <w:vertAlign w:val="baseline"/>
                <w:lang w:val="en"/>
              </w:rPr>
              <w:t>{t_wl_wryjdsxxcybtcjlb.jtqx_check_1}运维、比对过程存在不规范的问题； {t_wl_wryjdsxxcybtcjlb.jtqx_check_2}存在明显U形管，且小于90度；{t_wl_wryjdsxxcybtcjlb.jtqx_check_3}气压表故障，伴热管温度不足，采样、预处理环节存在液态水；温度、湿度仪测量不准确等仪器仪表类问题；{t_wl_wryjdsxxcybtcjlb.jtqx_check_4}通标气测试污染物浓度不符合规范要求，但误差在30%以内的；{t_wl_wryjdsxxcybtcjlb.jtqx_check_5}无等速采样功能，或未达到等速采样要求；{t_wl_wryjdsxxcybtcjlb.jtqx_check_6}无全程校准功能或全流程校准管路未连接，不符合规范要求；{t_wl_wryjdsxxcybtcjlb.jtqx_check_7}自动监测设备未验收或验收不符合规范要求的（无验收规范的除外）；{t_wl_wryjdsxxcybtcjlb.jtqx_check_8}自动监测设备标记故障（或维护等），经查标记不属实，但期间未发现明显违法排放；{t_wl_wryjdsxxcybtcjlb.jtqx_check_9}企业自动监测数据超标期间，工况标记生产设施或治污设施故障，但经查不属实，自动监测数据仍在正常上传（因该超标仍参与分析，不扣除，未造成掩盖违法行为的结果）；{t_wl_wryjdsxxcybtcjlb.jtqx_check_10}2018年3月（HJ75-2017）实施之前安装的自动监测设备，未安装湿度仪（湿度设置固定值参与计算）的问题。</w:t>
            </w:r>
          </w:p>
        </w:tc>
        <w:tc>
          <w:tcPr>
            <w:tcW w:w="1206" w:type="dxa"/>
            <w:vAlign w:val="center"/>
          </w:tcPr>
          <w:p w14:paraId="5B1682B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56A9446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62A7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0" w:hRule="atLeast"/>
          <w:jc w:val="center"/>
        </w:trPr>
        <w:tc>
          <w:tcPr>
            <w:tcW w:w="1927" w:type="dxa"/>
            <w:gridSpan w:val="3"/>
            <w:vMerge w:val="continue"/>
            <w:vAlign w:val="center"/>
          </w:tcPr>
          <w:p w14:paraId="1805DE7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066C408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其他情况说明</w:t>
            </w:r>
          </w:p>
        </w:tc>
        <w:tc>
          <w:tcPr>
            <w:tcW w:w="5060" w:type="dxa"/>
            <w:gridSpan w:val="8"/>
            <w:vAlign w:val="center"/>
          </w:tcPr>
          <w:p w14:paraId="52B4B99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0196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restart"/>
            <w:vAlign w:val="center"/>
          </w:tcPr>
          <w:p w14:paraId="787C3D4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污染防治设施建设运行情况</w:t>
            </w:r>
          </w:p>
        </w:tc>
        <w:tc>
          <w:tcPr>
            <w:tcW w:w="2648" w:type="dxa"/>
            <w:gridSpan w:val="2"/>
            <w:vAlign w:val="center"/>
          </w:tcPr>
          <w:p w14:paraId="647E576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废气处理工艺</w:t>
            </w:r>
          </w:p>
        </w:tc>
        <w:tc>
          <w:tcPr>
            <w:tcW w:w="5060" w:type="dxa"/>
            <w:gridSpan w:val="8"/>
            <w:vAlign w:val="center"/>
          </w:tcPr>
          <w:p w14:paraId="4A00180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4D1A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097FF17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0EBADEF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噪声污染防治设施</w:t>
            </w:r>
          </w:p>
        </w:tc>
        <w:tc>
          <w:tcPr>
            <w:tcW w:w="5060" w:type="dxa"/>
            <w:gridSpan w:val="8"/>
            <w:vAlign w:val="center"/>
          </w:tcPr>
          <w:p w14:paraId="0EA856D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385C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4D543F1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613DC07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废水处理工艺</w:t>
            </w:r>
          </w:p>
        </w:tc>
        <w:tc>
          <w:tcPr>
            <w:tcW w:w="5060" w:type="dxa"/>
            <w:gridSpan w:val="8"/>
            <w:vAlign w:val="center"/>
          </w:tcPr>
          <w:p w14:paraId="5D9F082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1CF3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7BC15A4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74EE6C3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是否与排污许可证一致</w:t>
            </w:r>
          </w:p>
        </w:tc>
        <w:tc>
          <w:tcPr>
            <w:tcW w:w="1206" w:type="dxa"/>
            <w:gridSpan w:val="3"/>
            <w:vAlign w:val="center"/>
          </w:tcPr>
          <w:p w14:paraId="3812DD3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41ED34E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1367608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排放口位置和数量、污染物排放方式和排放去向是否与排污许可证一致</w:t>
            </w:r>
          </w:p>
        </w:tc>
        <w:tc>
          <w:tcPr>
            <w:tcW w:w="1206" w:type="dxa"/>
            <w:vAlign w:val="center"/>
          </w:tcPr>
          <w:p w14:paraId="02A6115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4789980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1776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578E888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3DBCEC9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是否按照生态环境主管部门的规定建设规范化污染物排放口，并设置标志牌</w:t>
            </w:r>
          </w:p>
        </w:tc>
        <w:tc>
          <w:tcPr>
            <w:tcW w:w="1206" w:type="dxa"/>
            <w:gridSpan w:val="3"/>
            <w:vAlign w:val="center"/>
          </w:tcPr>
          <w:p w14:paraId="7C886BF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7511E85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3D0394B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运行情况</w:t>
            </w:r>
          </w:p>
        </w:tc>
        <w:tc>
          <w:tcPr>
            <w:tcW w:w="1206" w:type="dxa"/>
            <w:vAlign w:val="center"/>
          </w:tcPr>
          <w:p w14:paraId="2A346E0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□正常运行</w:t>
            </w:r>
          </w:p>
          <w:p w14:paraId="1B2BED5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□不正常运行</w:t>
            </w:r>
          </w:p>
        </w:tc>
      </w:tr>
      <w:tr w14:paraId="09A9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7B5C394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1455D27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其他情况说明</w:t>
            </w:r>
          </w:p>
        </w:tc>
        <w:tc>
          <w:tcPr>
            <w:tcW w:w="5060" w:type="dxa"/>
            <w:gridSpan w:val="8"/>
            <w:vAlign w:val="center"/>
          </w:tcPr>
          <w:p w14:paraId="6A6632B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13A1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restart"/>
            <w:vAlign w:val="center"/>
          </w:tcPr>
          <w:p w14:paraId="5F6CA686">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固废管理情况</w:t>
            </w:r>
          </w:p>
        </w:tc>
        <w:tc>
          <w:tcPr>
            <w:tcW w:w="3854" w:type="dxa"/>
            <w:gridSpan w:val="5"/>
            <w:vAlign w:val="center"/>
          </w:tcPr>
          <w:p w14:paraId="4133C97C">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r>
              <w:rPr>
                <w:rFonts w:hint="eastAsia"/>
                <w:szCs w:val="22"/>
                <w:vertAlign w:val="baseline"/>
                <w:lang w:val="en" w:eastAsia="zh-CN"/>
              </w:rPr>
              <w:t>是否落实固废处理</w:t>
            </w:r>
            <w:r>
              <w:rPr>
                <w:rFonts w:hint="eastAsia"/>
                <w:szCs w:val="22"/>
                <w:vertAlign w:val="baseline"/>
                <w:lang w:val="en"/>
              </w:rPr>
              <w:t>、处置</w:t>
            </w:r>
            <w:r>
              <w:rPr>
                <w:rFonts w:hint="eastAsia"/>
                <w:szCs w:val="22"/>
                <w:vertAlign w:val="baseline"/>
                <w:lang w:val="en" w:eastAsia="zh-CN"/>
              </w:rPr>
              <w:t>相关要求</w:t>
            </w:r>
          </w:p>
        </w:tc>
        <w:tc>
          <w:tcPr>
            <w:tcW w:w="3854" w:type="dxa"/>
            <w:gridSpan w:val="5"/>
            <w:vAlign w:val="center"/>
          </w:tcPr>
          <w:p w14:paraId="29BD58F9">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r>
              <w:rPr>
                <w:rFonts w:hint="eastAsia"/>
                <w:szCs w:val="22"/>
                <w:vertAlign w:val="baseline"/>
                <w:lang w:val="en"/>
              </w:rPr>
              <w:t>□是□否□未涉及</w:t>
            </w:r>
          </w:p>
        </w:tc>
      </w:tr>
      <w:tr w14:paraId="4528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0BA9B1A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21EF276C">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r>
              <w:rPr>
                <w:rFonts w:hint="eastAsia"/>
                <w:szCs w:val="22"/>
                <w:vertAlign w:val="baseline"/>
                <w:lang w:val="en"/>
              </w:rPr>
              <w:t>固废</w:t>
            </w:r>
            <w:r>
              <w:rPr>
                <w:rFonts w:hint="eastAsia"/>
                <w:szCs w:val="22"/>
                <w:vertAlign w:val="baseline"/>
                <w:lang w:val="en" w:eastAsia="zh-CN"/>
              </w:rPr>
              <w:t>处理</w:t>
            </w:r>
            <w:r>
              <w:rPr>
                <w:rFonts w:hint="eastAsia"/>
                <w:szCs w:val="22"/>
                <w:vertAlign w:val="baseline"/>
                <w:lang w:val="en"/>
              </w:rPr>
              <w:t>、处置</w:t>
            </w:r>
            <w:r>
              <w:rPr>
                <w:rFonts w:hint="eastAsia"/>
                <w:szCs w:val="22"/>
                <w:vertAlign w:val="baseline"/>
                <w:lang w:val="en" w:eastAsia="zh-CN"/>
              </w:rPr>
              <w:t>方式</w:t>
            </w:r>
          </w:p>
        </w:tc>
        <w:tc>
          <w:tcPr>
            <w:tcW w:w="5060" w:type="dxa"/>
            <w:gridSpan w:val="8"/>
            <w:vAlign w:val="center"/>
          </w:tcPr>
          <w:p w14:paraId="45819DCB">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p>
        </w:tc>
      </w:tr>
      <w:tr w14:paraId="50EC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restart"/>
            <w:vAlign w:val="center"/>
          </w:tcPr>
          <w:p w14:paraId="09F3917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危废管理情况</w:t>
            </w:r>
          </w:p>
        </w:tc>
        <w:tc>
          <w:tcPr>
            <w:tcW w:w="3854" w:type="dxa"/>
            <w:gridSpan w:val="5"/>
            <w:vAlign w:val="center"/>
          </w:tcPr>
          <w:p w14:paraId="76B55CAB">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r>
              <w:rPr>
                <w:rFonts w:hint="eastAsia"/>
                <w:szCs w:val="22"/>
                <w:vertAlign w:val="baseline"/>
                <w:lang w:val="en" w:eastAsia="zh-CN"/>
              </w:rPr>
              <w:t>是否落实</w:t>
            </w:r>
            <w:r>
              <w:rPr>
                <w:rFonts w:hint="eastAsia"/>
                <w:szCs w:val="22"/>
                <w:vertAlign w:val="baseline"/>
                <w:lang w:val="en"/>
              </w:rPr>
              <w:t>危废</w:t>
            </w:r>
            <w:r>
              <w:rPr>
                <w:rFonts w:hint="eastAsia"/>
                <w:szCs w:val="22"/>
                <w:vertAlign w:val="baseline"/>
                <w:lang w:val="en" w:eastAsia="zh-CN"/>
              </w:rPr>
              <w:t>处理</w:t>
            </w:r>
            <w:r>
              <w:rPr>
                <w:rFonts w:hint="eastAsia"/>
                <w:szCs w:val="22"/>
                <w:vertAlign w:val="baseline"/>
                <w:lang w:val="en"/>
              </w:rPr>
              <w:t>、处置</w:t>
            </w:r>
            <w:r>
              <w:rPr>
                <w:rFonts w:hint="eastAsia"/>
                <w:szCs w:val="22"/>
                <w:vertAlign w:val="baseline"/>
                <w:lang w:val="en" w:eastAsia="zh-CN"/>
              </w:rPr>
              <w:t>相关要求</w:t>
            </w:r>
          </w:p>
        </w:tc>
        <w:tc>
          <w:tcPr>
            <w:tcW w:w="3854" w:type="dxa"/>
            <w:gridSpan w:val="5"/>
            <w:vAlign w:val="center"/>
          </w:tcPr>
          <w:p w14:paraId="0E464208">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r>
              <w:rPr>
                <w:rFonts w:hint="eastAsia"/>
                <w:szCs w:val="22"/>
                <w:vertAlign w:val="baseline"/>
                <w:lang w:val="en"/>
              </w:rPr>
              <w:t>□是□否□未涉及</w:t>
            </w:r>
          </w:p>
        </w:tc>
      </w:tr>
      <w:tr w14:paraId="7710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3A82AE4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24E0F33F">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r>
              <w:rPr>
                <w:rFonts w:hint="eastAsia"/>
                <w:szCs w:val="22"/>
                <w:vertAlign w:val="baseline"/>
                <w:lang w:val="en" w:eastAsia="zh-CN"/>
              </w:rPr>
              <w:t>危废处理</w:t>
            </w:r>
            <w:r>
              <w:rPr>
                <w:rFonts w:hint="eastAsia"/>
                <w:szCs w:val="22"/>
                <w:vertAlign w:val="baseline"/>
                <w:lang w:val="en"/>
              </w:rPr>
              <w:t>、处置</w:t>
            </w:r>
            <w:r>
              <w:rPr>
                <w:rFonts w:hint="eastAsia"/>
                <w:szCs w:val="22"/>
                <w:vertAlign w:val="baseline"/>
                <w:lang w:val="en" w:eastAsia="zh-CN"/>
              </w:rPr>
              <w:t>方式</w:t>
            </w:r>
          </w:p>
        </w:tc>
        <w:tc>
          <w:tcPr>
            <w:tcW w:w="5060" w:type="dxa"/>
            <w:gridSpan w:val="8"/>
            <w:vAlign w:val="center"/>
          </w:tcPr>
          <w:p w14:paraId="479B9AA5">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szCs w:val="22"/>
                <w:vertAlign w:val="baseline"/>
                <w:lang w:val="en"/>
              </w:rPr>
            </w:pPr>
            <w:r>
              <w:rPr>
                <w:rFonts w:hint="eastAsia"/>
                <w:szCs w:val="22"/>
                <w:vertAlign w:val="baseline"/>
                <w:lang w:val="en"/>
              </w:rPr>
              <w:t>厂家回收</w:t>
            </w:r>
          </w:p>
        </w:tc>
      </w:tr>
      <w:tr w14:paraId="3819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Align w:val="center"/>
          </w:tcPr>
          <w:p w14:paraId="4B0EC02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地下水污染防治措施落实情况</w:t>
            </w:r>
          </w:p>
        </w:tc>
        <w:tc>
          <w:tcPr>
            <w:tcW w:w="2648" w:type="dxa"/>
            <w:gridSpan w:val="2"/>
            <w:vAlign w:val="center"/>
          </w:tcPr>
          <w:p w14:paraId="4D5F15E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是否按要求设置地下水监测井</w:t>
            </w:r>
          </w:p>
        </w:tc>
        <w:tc>
          <w:tcPr>
            <w:tcW w:w="1206" w:type="dxa"/>
            <w:gridSpan w:val="3"/>
            <w:vAlign w:val="center"/>
          </w:tcPr>
          <w:p w14:paraId="23F01AC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6F06BD2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68347BB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是否按要求开展地下水监测</w:t>
            </w:r>
          </w:p>
        </w:tc>
        <w:tc>
          <w:tcPr>
            <w:tcW w:w="1206" w:type="dxa"/>
            <w:vAlign w:val="center"/>
          </w:tcPr>
          <w:p w14:paraId="0C57E24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4194FA7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5EB7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Align w:val="center"/>
          </w:tcPr>
          <w:p w14:paraId="6BD3965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核与辐射安全措施落实情况</w:t>
            </w:r>
          </w:p>
        </w:tc>
        <w:tc>
          <w:tcPr>
            <w:tcW w:w="2648" w:type="dxa"/>
            <w:gridSpan w:val="2"/>
            <w:vAlign w:val="center"/>
          </w:tcPr>
          <w:p w14:paraId="7245987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eastAsia="zh-CN"/>
              </w:rPr>
              <w:t>是否取得辐射安全许可证</w:t>
            </w:r>
          </w:p>
        </w:tc>
        <w:tc>
          <w:tcPr>
            <w:tcW w:w="1206" w:type="dxa"/>
            <w:gridSpan w:val="3"/>
            <w:vAlign w:val="center"/>
          </w:tcPr>
          <w:p w14:paraId="428F4C9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ACC9B9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55BE1F4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是否超出规定活动种类或范围</w:t>
            </w:r>
          </w:p>
        </w:tc>
        <w:tc>
          <w:tcPr>
            <w:tcW w:w="1206" w:type="dxa"/>
            <w:vAlign w:val="center"/>
          </w:tcPr>
          <w:p w14:paraId="60CA698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2552C26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0033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restart"/>
            <w:vAlign w:val="center"/>
          </w:tcPr>
          <w:p w14:paraId="77A6EC0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环境风险防控情况</w:t>
            </w:r>
          </w:p>
        </w:tc>
        <w:tc>
          <w:tcPr>
            <w:tcW w:w="2648" w:type="dxa"/>
            <w:gridSpan w:val="2"/>
            <w:vAlign w:val="center"/>
          </w:tcPr>
          <w:p w14:paraId="635F969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是否编制突发环境事件应急预案并报备</w:t>
            </w:r>
          </w:p>
        </w:tc>
        <w:tc>
          <w:tcPr>
            <w:tcW w:w="1206" w:type="dxa"/>
            <w:gridSpan w:val="3"/>
            <w:vAlign w:val="center"/>
          </w:tcPr>
          <w:p w14:paraId="692F462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1A8A742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3C62D6F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是否每年组织预案培训及应急演练</w:t>
            </w:r>
          </w:p>
        </w:tc>
        <w:tc>
          <w:tcPr>
            <w:tcW w:w="1206" w:type="dxa"/>
            <w:vAlign w:val="center"/>
          </w:tcPr>
          <w:p w14:paraId="4CBF802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7D63687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39AE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58DBD2EC">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5767B18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是否储备必要应急物资</w:t>
            </w:r>
          </w:p>
        </w:tc>
        <w:tc>
          <w:tcPr>
            <w:tcW w:w="1206" w:type="dxa"/>
            <w:gridSpan w:val="3"/>
            <w:vAlign w:val="center"/>
          </w:tcPr>
          <w:p w14:paraId="151B451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3BACB36B">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c>
          <w:tcPr>
            <w:tcW w:w="2648" w:type="dxa"/>
            <w:gridSpan w:val="4"/>
            <w:vAlign w:val="center"/>
          </w:tcPr>
          <w:p w14:paraId="599746F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应急管理制度是否执行到位</w:t>
            </w:r>
          </w:p>
        </w:tc>
        <w:tc>
          <w:tcPr>
            <w:tcW w:w="1206" w:type="dxa"/>
            <w:vAlign w:val="center"/>
          </w:tcPr>
          <w:p w14:paraId="203EC0C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w:t>
            </w:r>
          </w:p>
          <w:p w14:paraId="5F05694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□未涉及</w:t>
            </w:r>
          </w:p>
        </w:tc>
      </w:tr>
      <w:tr w14:paraId="5614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restart"/>
            <w:vAlign w:val="center"/>
          </w:tcPr>
          <w:p w14:paraId="470C503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重污染天气应急管控措施落实情况</w:t>
            </w:r>
          </w:p>
        </w:tc>
        <w:tc>
          <w:tcPr>
            <w:tcW w:w="3854" w:type="dxa"/>
            <w:gridSpan w:val="5"/>
            <w:vAlign w:val="center"/>
          </w:tcPr>
          <w:p w14:paraId="3806F20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是否落实重污染天气应急管控措施（含移动源管控措施）</w:t>
            </w:r>
          </w:p>
        </w:tc>
        <w:tc>
          <w:tcPr>
            <w:tcW w:w="3854" w:type="dxa"/>
            <w:gridSpan w:val="5"/>
            <w:vAlign w:val="center"/>
          </w:tcPr>
          <w:p w14:paraId="14B304A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□是□否□未涉及</w:t>
            </w:r>
          </w:p>
        </w:tc>
      </w:tr>
      <w:tr w14:paraId="1C28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927" w:type="dxa"/>
            <w:gridSpan w:val="3"/>
            <w:vMerge w:val="continue"/>
            <w:vAlign w:val="center"/>
          </w:tcPr>
          <w:p w14:paraId="308D56D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2648" w:type="dxa"/>
            <w:gridSpan w:val="2"/>
            <w:vAlign w:val="center"/>
          </w:tcPr>
          <w:p w14:paraId="4A50352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其他情况说明</w:t>
            </w:r>
          </w:p>
        </w:tc>
        <w:tc>
          <w:tcPr>
            <w:tcW w:w="5060" w:type="dxa"/>
            <w:gridSpan w:val="8"/>
            <w:vAlign w:val="center"/>
          </w:tcPr>
          <w:p w14:paraId="405B605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r>
      <w:tr w14:paraId="2CE8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208" w:hRule="atLeast"/>
          <w:jc w:val="center"/>
        </w:trPr>
        <w:tc>
          <w:tcPr>
            <w:tcW w:w="9635" w:type="dxa"/>
            <w:gridSpan w:val="13"/>
            <w:vAlign w:val="top"/>
          </w:tcPr>
          <w:p w14:paraId="7C5C044E">
            <w:pPr>
              <w:keepNext w:val="0"/>
              <w:keepLines w:val="0"/>
              <w:pageBreakBefore w:val="0"/>
              <w:widowControl w:val="0"/>
              <w:kinsoku/>
              <w:wordWrap/>
              <w:overflowPunct/>
              <w:topLinePunct w:val="0"/>
              <w:autoSpaceDE/>
              <w:autoSpaceDN/>
              <w:bidi w:val="0"/>
              <w:adjustRightInd/>
              <w:snapToGrid/>
              <w:spacing w:line="240" w:lineRule="auto"/>
              <w:ind w:right="0"/>
              <w:jc w:val="left"/>
              <w:textAlignment w:val="auto"/>
              <w:outlineLvl w:val="9"/>
              <w:rPr>
                <w:rFonts w:hint="eastAsia" w:eastAsia="宋体"/>
                <w:szCs w:val="22"/>
                <w:vertAlign w:val="baseline"/>
                <w:lang w:val="en" w:eastAsia="zh-CN"/>
              </w:rPr>
            </w:pPr>
            <w:r>
              <w:rPr>
                <w:rFonts w:hint="eastAsia"/>
                <w:szCs w:val="22"/>
                <w:vertAlign w:val="baseline"/>
                <w:lang w:val="en"/>
              </w:rPr>
              <w:t>现场检查情况</w:t>
            </w:r>
            <w:r>
              <w:rPr>
                <w:rFonts w:hint="eastAsia"/>
                <w:szCs w:val="22"/>
                <w:vertAlign w:val="baseline"/>
                <w:lang w:val="en" w:eastAsia="zh-CN"/>
              </w:rPr>
              <w:t xml:space="preserve">：现场检查结论:                                                                                          </w:t>
            </w:r>
            <w:r>
              <w:rPr>
                <w:rFonts w:hint="eastAsia"/>
                <w:szCs w:val="22"/>
                <w:vertAlign w:val="baseline"/>
                <w:lang w:val="en" w:eastAsia="zh-CN"/>
              </w:rPr>
              <w:br w:type="textWrapping"/>
            </w:r>
            <w:r>
              <w:rPr>
                <w:rFonts w:hint="eastAsia"/>
                <w:szCs w:val="22"/>
                <w:vertAlign w:val="baseline"/>
                <w:lang w:val="en" w:eastAsia="zh-CN"/>
              </w:rPr>
              <w:t xml:space="preserve">                                                                                        </w:t>
            </w:r>
          </w:p>
        </w:tc>
      </w:tr>
      <w:tr w14:paraId="6315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1208" w:hRule="atLeast"/>
          <w:jc w:val="center"/>
        </w:trPr>
        <w:tc>
          <w:tcPr>
            <w:tcW w:w="9635" w:type="dxa"/>
            <w:gridSpan w:val="13"/>
            <w:vAlign w:val="top"/>
          </w:tcPr>
          <w:p w14:paraId="4FB8803E">
            <w:pPr>
              <w:keepNext w:val="0"/>
              <w:keepLines w:val="0"/>
              <w:pageBreakBefore w:val="0"/>
              <w:widowControl w:val="0"/>
              <w:kinsoku/>
              <w:wordWrap/>
              <w:overflowPunct/>
              <w:topLinePunct w:val="0"/>
              <w:autoSpaceDE/>
              <w:autoSpaceDN/>
              <w:bidi w:val="0"/>
              <w:adjustRightInd/>
              <w:snapToGrid/>
              <w:spacing w:line="240" w:lineRule="auto"/>
              <w:ind w:right="0"/>
              <w:jc w:val="left"/>
              <w:textAlignment w:val="auto"/>
              <w:outlineLvl w:val="9"/>
              <w:rPr>
                <w:rFonts w:hint="eastAsia" w:eastAsia="宋体"/>
                <w:szCs w:val="22"/>
                <w:vertAlign w:val="baseline"/>
                <w:lang w:val="en" w:eastAsia="zh-CN"/>
              </w:rPr>
            </w:pPr>
            <w:r>
              <w:rPr>
                <w:rFonts w:hint="eastAsia"/>
                <w:szCs w:val="22"/>
                <w:vertAlign w:val="baseline"/>
                <w:lang w:val="en"/>
              </w:rPr>
              <w:t>处理建议</w:t>
            </w:r>
            <w:r>
              <w:rPr>
                <w:rFonts w:hint="eastAsia"/>
                <w:szCs w:val="22"/>
                <w:vertAlign w:val="baseline"/>
                <w:lang w:val="en" w:eastAsia="zh-CN"/>
              </w:rPr>
              <w:t>：</w:t>
            </w:r>
          </w:p>
        </w:tc>
      </w:tr>
      <w:tr w14:paraId="5052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605" w:type="dxa"/>
            <w:vAlign w:val="center"/>
          </w:tcPr>
          <w:p w14:paraId="1A284BF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执法人员姓名</w:t>
            </w:r>
          </w:p>
        </w:tc>
        <w:tc>
          <w:tcPr>
            <w:tcW w:w="1605" w:type="dxa"/>
            <w:gridSpan w:val="3"/>
            <w:tcBorders>
              <w:bottom w:val="single" w:color="auto" w:sz="4" w:space="0"/>
            </w:tcBorders>
            <w:vAlign w:val="center"/>
          </w:tcPr>
          <w:p w14:paraId="333ED1D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tab/>
            </w:r>
          </w:p>
        </w:tc>
        <w:tc>
          <w:tcPr>
            <w:tcW w:w="1605" w:type="dxa"/>
            <w:gridSpan w:val="2"/>
            <w:tcBorders>
              <w:bottom w:val="single" w:color="auto" w:sz="4" w:space="0"/>
            </w:tcBorders>
            <w:vAlign w:val="center"/>
          </w:tcPr>
          <w:p w14:paraId="1193C6A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执法证号</w:t>
            </w:r>
          </w:p>
        </w:tc>
        <w:tc>
          <w:tcPr>
            <w:tcW w:w="1605" w:type="dxa"/>
            <w:gridSpan w:val="3"/>
            <w:vAlign w:val="center"/>
          </w:tcPr>
          <w:p w14:paraId="033E223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1605" w:type="dxa"/>
            <w:gridSpan w:val="2"/>
            <w:tcBorders>
              <w:bottom w:val="single" w:color="auto" w:sz="4" w:space="0"/>
            </w:tcBorders>
            <w:vAlign w:val="center"/>
          </w:tcPr>
          <w:p w14:paraId="30810FF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工作单位</w:t>
            </w:r>
          </w:p>
        </w:tc>
        <w:tc>
          <w:tcPr>
            <w:tcW w:w="1610" w:type="dxa"/>
            <w:gridSpan w:val="2"/>
            <w:tcBorders>
              <w:bottom w:val="single" w:color="auto" w:sz="4" w:space="0"/>
            </w:tcBorders>
            <w:vAlign w:val="center"/>
          </w:tcPr>
          <w:p w14:paraId="28EB47E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伊犁哈萨克自治州生态环境局尼勒克县分局</w:t>
            </w:r>
          </w:p>
        </w:tc>
      </w:tr>
      <w:tr w14:paraId="57B0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605" w:type="dxa"/>
            <w:vMerge w:val="restart"/>
            <w:tcBorders>
              <w:right w:val="single" w:color="auto" w:sz="4" w:space="0"/>
            </w:tcBorders>
            <w:vAlign w:val="center"/>
          </w:tcPr>
          <w:p w14:paraId="43A4BEE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记录人</w:t>
            </w:r>
          </w:p>
          <w:p w14:paraId="71744729">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（签字）</w:t>
            </w:r>
          </w:p>
        </w:tc>
        <w:tc>
          <w:tcPr>
            <w:tcW w:w="3210" w:type="dxa"/>
            <w:gridSpan w:val="5"/>
            <w:tcBorders>
              <w:top w:val="single" w:color="auto" w:sz="4" w:space="0"/>
              <w:left w:val="single" w:color="auto" w:sz="4" w:space="0"/>
              <w:bottom w:val="nil"/>
              <w:right w:val="single" w:color="auto" w:sz="4" w:space="0"/>
            </w:tcBorders>
            <w:vAlign w:val="center"/>
          </w:tcPr>
          <w:p w14:paraId="5EA2EFDD">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tab/>
            </w:r>
          </w:p>
        </w:tc>
        <w:tc>
          <w:tcPr>
            <w:tcW w:w="1605" w:type="dxa"/>
            <w:gridSpan w:val="3"/>
            <w:vMerge w:val="restart"/>
            <w:tcBorders>
              <w:left w:val="single" w:color="auto" w:sz="4" w:space="0"/>
              <w:right w:val="single" w:color="auto" w:sz="4" w:space="0"/>
            </w:tcBorders>
            <w:vAlign w:val="center"/>
          </w:tcPr>
          <w:p w14:paraId="409D633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排污单位</w:t>
            </w:r>
          </w:p>
          <w:p w14:paraId="3E133273">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现场负责人</w:t>
            </w:r>
          </w:p>
          <w:p w14:paraId="2694A19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rPr>
                <w:rFonts w:hint="eastAsia"/>
                <w:szCs w:val="22"/>
                <w:vertAlign w:val="baseline"/>
                <w:lang w:val="en"/>
              </w:rPr>
              <w:t>（签字）</w:t>
            </w:r>
          </w:p>
        </w:tc>
        <w:tc>
          <w:tcPr>
            <w:tcW w:w="3215" w:type="dxa"/>
            <w:gridSpan w:val="4"/>
            <w:tcBorders>
              <w:top w:val="single" w:color="auto" w:sz="4" w:space="0"/>
              <w:left w:val="single" w:color="auto" w:sz="4" w:space="0"/>
              <w:bottom w:val="nil"/>
              <w:right w:val="single" w:color="auto" w:sz="4" w:space="0"/>
            </w:tcBorders>
            <w:vAlign w:val="center"/>
          </w:tcPr>
          <w:p w14:paraId="1EBE28F1">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r>
              <w:tab/>
            </w:r>
          </w:p>
        </w:tc>
      </w:tr>
      <w:tr w14:paraId="743D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jc w:val="center"/>
        </w:trPr>
        <w:tc>
          <w:tcPr>
            <w:tcW w:w="1605" w:type="dxa"/>
            <w:vMerge w:val="continue"/>
            <w:tcBorders>
              <w:right w:val="single" w:color="auto" w:sz="4" w:space="0"/>
            </w:tcBorders>
            <w:vAlign w:val="center"/>
          </w:tcPr>
          <w:p w14:paraId="41EA985A">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szCs w:val="22"/>
                <w:vertAlign w:val="baseline"/>
                <w:lang w:val="en"/>
              </w:rPr>
            </w:pPr>
          </w:p>
        </w:tc>
        <w:tc>
          <w:tcPr>
            <w:tcW w:w="3210" w:type="dxa"/>
            <w:gridSpan w:val="5"/>
            <w:tcBorders>
              <w:top w:val="nil"/>
              <w:left w:val="single" w:color="auto" w:sz="4" w:space="0"/>
              <w:bottom w:val="single" w:color="auto" w:sz="4" w:space="0"/>
              <w:right w:val="single" w:color="auto" w:sz="4" w:space="0"/>
            </w:tcBorders>
            <w:vAlign w:val="center"/>
          </w:tcPr>
          <w:p w14:paraId="15019C20">
            <w:pPr>
              <w:keepNext w:val="0"/>
              <w:keepLines w:val="0"/>
              <w:pageBreakBefore w:val="0"/>
              <w:widowControl w:val="0"/>
              <w:kinsoku/>
              <w:wordWrap/>
              <w:overflowPunct/>
              <w:topLinePunct w:val="0"/>
              <w:autoSpaceDE/>
              <w:autoSpaceDN/>
              <w:bidi w:val="0"/>
              <w:adjustRightInd/>
              <w:snapToGrid/>
              <w:spacing w:line="240" w:lineRule="auto"/>
              <w:ind w:right="0"/>
              <w:jc w:val="right"/>
              <w:textAlignment w:val="auto"/>
              <w:outlineLvl w:val="9"/>
              <w:rPr>
                <w:rFonts w:hint="eastAsia"/>
                <w:szCs w:val="22"/>
                <w:vertAlign w:val="baseline"/>
                <w:lang w:val="en"/>
              </w:rPr>
            </w:pPr>
            <w:bookmarkStart w:id="0" w:name="_GoBack"/>
            <w:bookmarkEnd w:id="0"/>
          </w:p>
        </w:tc>
        <w:tc>
          <w:tcPr>
            <w:tcW w:w="1605" w:type="dxa"/>
            <w:gridSpan w:val="3"/>
            <w:vMerge w:val="continue"/>
            <w:tcBorders>
              <w:left w:val="single" w:color="auto" w:sz="4" w:space="0"/>
              <w:right w:val="single" w:color="auto" w:sz="4" w:space="0"/>
            </w:tcBorders>
            <w:vAlign w:val="center"/>
          </w:tcPr>
          <w:p w14:paraId="12699C96">
            <w:pPr>
              <w:keepNext w:val="0"/>
              <w:keepLines w:val="0"/>
              <w:pageBreakBefore w:val="0"/>
              <w:widowControl w:val="0"/>
              <w:kinsoku/>
              <w:wordWrap/>
              <w:overflowPunct/>
              <w:topLinePunct w:val="0"/>
              <w:autoSpaceDE/>
              <w:autoSpaceDN/>
              <w:bidi w:val="0"/>
              <w:adjustRightInd/>
              <w:snapToGrid/>
              <w:spacing w:line="240" w:lineRule="auto"/>
              <w:ind w:right="0"/>
              <w:jc w:val="right"/>
              <w:textAlignment w:val="auto"/>
              <w:outlineLvl w:val="9"/>
              <w:rPr>
                <w:rFonts w:hint="eastAsia"/>
                <w:szCs w:val="22"/>
                <w:vertAlign w:val="baseline"/>
                <w:lang w:val="en"/>
              </w:rPr>
            </w:pPr>
          </w:p>
        </w:tc>
        <w:tc>
          <w:tcPr>
            <w:tcW w:w="3215" w:type="dxa"/>
            <w:gridSpan w:val="4"/>
            <w:tcBorders>
              <w:top w:val="nil"/>
              <w:left w:val="single" w:color="auto" w:sz="4" w:space="0"/>
              <w:bottom w:val="single" w:color="auto" w:sz="4" w:space="0"/>
              <w:right w:val="single" w:color="auto" w:sz="4" w:space="0"/>
            </w:tcBorders>
            <w:vAlign w:val="center"/>
          </w:tcPr>
          <w:p w14:paraId="260E1EBD">
            <w:pPr>
              <w:keepNext w:val="0"/>
              <w:keepLines w:val="0"/>
              <w:pageBreakBefore w:val="0"/>
              <w:widowControl w:val="0"/>
              <w:kinsoku/>
              <w:wordWrap/>
              <w:overflowPunct/>
              <w:topLinePunct w:val="0"/>
              <w:autoSpaceDE/>
              <w:autoSpaceDN/>
              <w:bidi w:val="0"/>
              <w:adjustRightInd/>
              <w:snapToGrid/>
              <w:spacing w:line="240" w:lineRule="auto"/>
              <w:ind w:right="0"/>
              <w:jc w:val="right"/>
              <w:textAlignment w:val="auto"/>
              <w:outlineLvl w:val="9"/>
              <w:rPr>
                <w:rFonts w:hint="eastAsia"/>
                <w:szCs w:val="22"/>
                <w:vertAlign w:val="baseline"/>
                <w:lang w:val="en"/>
              </w:rPr>
            </w:pPr>
          </w:p>
        </w:tc>
      </w:tr>
    </w:tbl>
    <w:p w14:paraId="74D55FCD">
      <w:pPr>
        <w:spacing w:line="440" w:lineRule="exact"/>
        <w:ind w:right="240"/>
        <w:jc w:val="both"/>
        <w:rPr>
          <w:lang w:val="en"/>
        </w:rPr>
      </w:pPr>
    </w:p>
    <w:sectPr>
      <w:footerReference r:id="rId3" w:type="default"/>
      <w:pgSz w:w="11906" w:h="16838"/>
      <w:pgMar w:top="1701" w:right="1531" w:bottom="1701" w:left="1531" w:header="851" w:footer="1077" w:gutter="0"/>
      <w:pgNumType w:fmt="decimal"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664A9">
    <w:pPr>
      <w:ind w:right="360" w:firstLine="360"/>
      <w:jc w:val="lef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lZTIzYWI1M2Y4ZWJjMDMxNzk4MWE0MzU3ZTY0ZDQifQ=="/>
  </w:docVars>
  <w:rsids>
    <w:rsidRoot w:val="0033728E"/>
    <w:rsid w:val="00045A5F"/>
    <w:rsid w:val="00054D72"/>
    <w:rsid w:val="000568FA"/>
    <w:rsid w:val="0006001D"/>
    <w:rsid w:val="000607D2"/>
    <w:rsid w:val="0006661F"/>
    <w:rsid w:val="000820C5"/>
    <w:rsid w:val="000A5790"/>
    <w:rsid w:val="00125292"/>
    <w:rsid w:val="00136BDB"/>
    <w:rsid w:val="00140108"/>
    <w:rsid w:val="001B40A2"/>
    <w:rsid w:val="001D6F3B"/>
    <w:rsid w:val="00226464"/>
    <w:rsid w:val="002C5A2F"/>
    <w:rsid w:val="002C7656"/>
    <w:rsid w:val="002C77F4"/>
    <w:rsid w:val="002D38C7"/>
    <w:rsid w:val="002F5AFB"/>
    <w:rsid w:val="00323B31"/>
    <w:rsid w:val="0033728E"/>
    <w:rsid w:val="00351362"/>
    <w:rsid w:val="003536A0"/>
    <w:rsid w:val="00371694"/>
    <w:rsid w:val="003B1736"/>
    <w:rsid w:val="003E22A3"/>
    <w:rsid w:val="003F2165"/>
    <w:rsid w:val="00442571"/>
    <w:rsid w:val="0046022B"/>
    <w:rsid w:val="00470049"/>
    <w:rsid w:val="0048694A"/>
    <w:rsid w:val="004968EC"/>
    <w:rsid w:val="004D7D8F"/>
    <w:rsid w:val="004E576E"/>
    <w:rsid w:val="00504DB4"/>
    <w:rsid w:val="00532669"/>
    <w:rsid w:val="0059728A"/>
    <w:rsid w:val="005B537F"/>
    <w:rsid w:val="005C536C"/>
    <w:rsid w:val="005D436F"/>
    <w:rsid w:val="005D439E"/>
    <w:rsid w:val="005D5D99"/>
    <w:rsid w:val="005F197C"/>
    <w:rsid w:val="005F35FB"/>
    <w:rsid w:val="005F77FF"/>
    <w:rsid w:val="00626FD7"/>
    <w:rsid w:val="00657707"/>
    <w:rsid w:val="00661AC7"/>
    <w:rsid w:val="00670321"/>
    <w:rsid w:val="006707EF"/>
    <w:rsid w:val="006C7C3D"/>
    <w:rsid w:val="006D6F34"/>
    <w:rsid w:val="006E2D02"/>
    <w:rsid w:val="006E462A"/>
    <w:rsid w:val="006F36FB"/>
    <w:rsid w:val="00702662"/>
    <w:rsid w:val="00712125"/>
    <w:rsid w:val="00751395"/>
    <w:rsid w:val="00760A94"/>
    <w:rsid w:val="00784339"/>
    <w:rsid w:val="007A041F"/>
    <w:rsid w:val="007A0BD7"/>
    <w:rsid w:val="007A52CC"/>
    <w:rsid w:val="007E2184"/>
    <w:rsid w:val="007F429B"/>
    <w:rsid w:val="00800F98"/>
    <w:rsid w:val="00803CCA"/>
    <w:rsid w:val="0081014D"/>
    <w:rsid w:val="00827464"/>
    <w:rsid w:val="00830774"/>
    <w:rsid w:val="008449C0"/>
    <w:rsid w:val="008532A4"/>
    <w:rsid w:val="008635FE"/>
    <w:rsid w:val="00877E6A"/>
    <w:rsid w:val="008920F1"/>
    <w:rsid w:val="00897CED"/>
    <w:rsid w:val="008A47CF"/>
    <w:rsid w:val="008D18CC"/>
    <w:rsid w:val="008D7921"/>
    <w:rsid w:val="0090731C"/>
    <w:rsid w:val="00907D9C"/>
    <w:rsid w:val="00917B8D"/>
    <w:rsid w:val="00925E5C"/>
    <w:rsid w:val="009375F8"/>
    <w:rsid w:val="0094776F"/>
    <w:rsid w:val="0098239B"/>
    <w:rsid w:val="00991789"/>
    <w:rsid w:val="009A6D28"/>
    <w:rsid w:val="009E643D"/>
    <w:rsid w:val="009F68E5"/>
    <w:rsid w:val="00A04393"/>
    <w:rsid w:val="00A16DD7"/>
    <w:rsid w:val="00A42B9D"/>
    <w:rsid w:val="00A42E83"/>
    <w:rsid w:val="00A451BE"/>
    <w:rsid w:val="00A80546"/>
    <w:rsid w:val="00AC4D17"/>
    <w:rsid w:val="00AD5147"/>
    <w:rsid w:val="00B15BAE"/>
    <w:rsid w:val="00B22EE5"/>
    <w:rsid w:val="00B33649"/>
    <w:rsid w:val="00B95659"/>
    <w:rsid w:val="00B96A08"/>
    <w:rsid w:val="00C00417"/>
    <w:rsid w:val="00C55FFB"/>
    <w:rsid w:val="00C56E7C"/>
    <w:rsid w:val="00CA3225"/>
    <w:rsid w:val="00D226E0"/>
    <w:rsid w:val="00D430D2"/>
    <w:rsid w:val="00D640DA"/>
    <w:rsid w:val="00D656EA"/>
    <w:rsid w:val="00D8182E"/>
    <w:rsid w:val="00D83232"/>
    <w:rsid w:val="00DB2721"/>
    <w:rsid w:val="00DD1852"/>
    <w:rsid w:val="00DD1BE6"/>
    <w:rsid w:val="00DD2DAD"/>
    <w:rsid w:val="00DF6D67"/>
    <w:rsid w:val="00E0007F"/>
    <w:rsid w:val="00E26124"/>
    <w:rsid w:val="00E51FC9"/>
    <w:rsid w:val="00E658A5"/>
    <w:rsid w:val="00E80500"/>
    <w:rsid w:val="00ED6927"/>
    <w:rsid w:val="00EE1083"/>
    <w:rsid w:val="00EE1450"/>
    <w:rsid w:val="00F030D7"/>
    <w:rsid w:val="00F10EA9"/>
    <w:rsid w:val="00F17933"/>
    <w:rsid w:val="00F33C04"/>
    <w:rsid w:val="00F40C99"/>
    <w:rsid w:val="00F451A4"/>
    <w:rsid w:val="00F47E5F"/>
    <w:rsid w:val="00F50943"/>
    <w:rsid w:val="00F563F1"/>
    <w:rsid w:val="00F72603"/>
    <w:rsid w:val="00F756DF"/>
    <w:rsid w:val="00F81C0F"/>
    <w:rsid w:val="00F94C47"/>
    <w:rsid w:val="00FB7C63"/>
    <w:rsid w:val="00FE769C"/>
    <w:rsid w:val="010D716A"/>
    <w:rsid w:val="01A42A40"/>
    <w:rsid w:val="0241228B"/>
    <w:rsid w:val="03D405A9"/>
    <w:rsid w:val="04010823"/>
    <w:rsid w:val="057D5D40"/>
    <w:rsid w:val="05EE23BD"/>
    <w:rsid w:val="06342508"/>
    <w:rsid w:val="07CD75DF"/>
    <w:rsid w:val="0C0C3516"/>
    <w:rsid w:val="0D401C0A"/>
    <w:rsid w:val="0E453A4A"/>
    <w:rsid w:val="0F27499A"/>
    <w:rsid w:val="10207658"/>
    <w:rsid w:val="10306009"/>
    <w:rsid w:val="108C4D37"/>
    <w:rsid w:val="117750CB"/>
    <w:rsid w:val="11E20F6E"/>
    <w:rsid w:val="11FD74CC"/>
    <w:rsid w:val="15136129"/>
    <w:rsid w:val="15A16920"/>
    <w:rsid w:val="1A1B2720"/>
    <w:rsid w:val="1A793CBD"/>
    <w:rsid w:val="1AE44815"/>
    <w:rsid w:val="1B125DF8"/>
    <w:rsid w:val="1BA3148F"/>
    <w:rsid w:val="1BAC5A0C"/>
    <w:rsid w:val="1BF76314"/>
    <w:rsid w:val="1CED14FB"/>
    <w:rsid w:val="1ED94D6D"/>
    <w:rsid w:val="1FC8704C"/>
    <w:rsid w:val="206B55A4"/>
    <w:rsid w:val="206D05F3"/>
    <w:rsid w:val="21F95279"/>
    <w:rsid w:val="220D147C"/>
    <w:rsid w:val="22BF22B6"/>
    <w:rsid w:val="23217B31"/>
    <w:rsid w:val="251676DB"/>
    <w:rsid w:val="259F2768"/>
    <w:rsid w:val="26A95B97"/>
    <w:rsid w:val="26BA8D48"/>
    <w:rsid w:val="275348A3"/>
    <w:rsid w:val="28E834F5"/>
    <w:rsid w:val="29F55E84"/>
    <w:rsid w:val="2A1A6035"/>
    <w:rsid w:val="2A6F1D53"/>
    <w:rsid w:val="2AC93655"/>
    <w:rsid w:val="2B3A5790"/>
    <w:rsid w:val="2B82556A"/>
    <w:rsid w:val="2CC122B2"/>
    <w:rsid w:val="2DC07010"/>
    <w:rsid w:val="2EC32E90"/>
    <w:rsid w:val="2F265BFD"/>
    <w:rsid w:val="2F6021E7"/>
    <w:rsid w:val="317816F0"/>
    <w:rsid w:val="3200621E"/>
    <w:rsid w:val="33030A7E"/>
    <w:rsid w:val="33E4785A"/>
    <w:rsid w:val="35902FA2"/>
    <w:rsid w:val="36131248"/>
    <w:rsid w:val="36D758D5"/>
    <w:rsid w:val="397D5F94"/>
    <w:rsid w:val="39E741FB"/>
    <w:rsid w:val="39FE8AAF"/>
    <w:rsid w:val="3B690298"/>
    <w:rsid w:val="3BD54A69"/>
    <w:rsid w:val="3BD75144"/>
    <w:rsid w:val="3BEC631E"/>
    <w:rsid w:val="3C711E28"/>
    <w:rsid w:val="3CA776E5"/>
    <w:rsid w:val="3D5E1634"/>
    <w:rsid w:val="3DAE5363"/>
    <w:rsid w:val="3DEF7427"/>
    <w:rsid w:val="3E32C035"/>
    <w:rsid w:val="3E5F3F67"/>
    <w:rsid w:val="3EBA02FF"/>
    <w:rsid w:val="3F56062D"/>
    <w:rsid w:val="3FE37882"/>
    <w:rsid w:val="3FEC1CCE"/>
    <w:rsid w:val="43FE37F2"/>
    <w:rsid w:val="44E070AC"/>
    <w:rsid w:val="45160DE0"/>
    <w:rsid w:val="47B6BFB0"/>
    <w:rsid w:val="495C3B2C"/>
    <w:rsid w:val="49E65B44"/>
    <w:rsid w:val="49FB5C63"/>
    <w:rsid w:val="4A757290"/>
    <w:rsid w:val="4BDD383E"/>
    <w:rsid w:val="4C2D28ED"/>
    <w:rsid w:val="4D1C25C8"/>
    <w:rsid w:val="5015373F"/>
    <w:rsid w:val="50A6269E"/>
    <w:rsid w:val="50A6499C"/>
    <w:rsid w:val="528F593F"/>
    <w:rsid w:val="52DB18BD"/>
    <w:rsid w:val="53C56A03"/>
    <w:rsid w:val="53FFF929"/>
    <w:rsid w:val="555026A2"/>
    <w:rsid w:val="5573F078"/>
    <w:rsid w:val="56D7078C"/>
    <w:rsid w:val="572E35ED"/>
    <w:rsid w:val="57620AAB"/>
    <w:rsid w:val="57EF7610"/>
    <w:rsid w:val="58742168"/>
    <w:rsid w:val="59755C77"/>
    <w:rsid w:val="59780395"/>
    <w:rsid w:val="598C2019"/>
    <w:rsid w:val="59DC18A8"/>
    <w:rsid w:val="5B1F7067"/>
    <w:rsid w:val="5BEFF43B"/>
    <w:rsid w:val="5C99367C"/>
    <w:rsid w:val="5CAE4FA0"/>
    <w:rsid w:val="5D5715D5"/>
    <w:rsid w:val="5D7FC11A"/>
    <w:rsid w:val="5E1015F9"/>
    <w:rsid w:val="5E1F76AF"/>
    <w:rsid w:val="5ECCAA52"/>
    <w:rsid w:val="5ED1498A"/>
    <w:rsid w:val="5ED79CDD"/>
    <w:rsid w:val="5EEA00DF"/>
    <w:rsid w:val="60325C59"/>
    <w:rsid w:val="60B73305"/>
    <w:rsid w:val="61550A48"/>
    <w:rsid w:val="619507A5"/>
    <w:rsid w:val="63D72B26"/>
    <w:rsid w:val="64047D3A"/>
    <w:rsid w:val="65DE2C9F"/>
    <w:rsid w:val="66306820"/>
    <w:rsid w:val="67DDE4EF"/>
    <w:rsid w:val="67EF7F9B"/>
    <w:rsid w:val="682E2ABA"/>
    <w:rsid w:val="6970106C"/>
    <w:rsid w:val="6ABB78FE"/>
    <w:rsid w:val="6B703CF8"/>
    <w:rsid w:val="6BB338B4"/>
    <w:rsid w:val="6CD23D99"/>
    <w:rsid w:val="6DC5203E"/>
    <w:rsid w:val="6DEE34FA"/>
    <w:rsid w:val="6F324B0A"/>
    <w:rsid w:val="6F9CD521"/>
    <w:rsid w:val="6FC8DA26"/>
    <w:rsid w:val="6FD36185"/>
    <w:rsid w:val="6FE1CCEB"/>
    <w:rsid w:val="6FFFFD0D"/>
    <w:rsid w:val="70772066"/>
    <w:rsid w:val="70FF7C47"/>
    <w:rsid w:val="71AA6F40"/>
    <w:rsid w:val="729A798A"/>
    <w:rsid w:val="7473337C"/>
    <w:rsid w:val="75156F6C"/>
    <w:rsid w:val="756F80FE"/>
    <w:rsid w:val="75982C83"/>
    <w:rsid w:val="75EF4BE4"/>
    <w:rsid w:val="75FD0B39"/>
    <w:rsid w:val="785C4C99"/>
    <w:rsid w:val="795E135F"/>
    <w:rsid w:val="79FFA793"/>
    <w:rsid w:val="7A56691C"/>
    <w:rsid w:val="7BBC0933"/>
    <w:rsid w:val="7BC78E45"/>
    <w:rsid w:val="7BF3CA75"/>
    <w:rsid w:val="7C890450"/>
    <w:rsid w:val="7D3635B4"/>
    <w:rsid w:val="7DFFC5D0"/>
    <w:rsid w:val="7E7FF966"/>
    <w:rsid w:val="7EBED205"/>
    <w:rsid w:val="7EFF234C"/>
    <w:rsid w:val="7F4968D2"/>
    <w:rsid w:val="7F6F723B"/>
    <w:rsid w:val="7F77AFBD"/>
    <w:rsid w:val="7FB7EC47"/>
    <w:rsid w:val="7FBD6AC4"/>
    <w:rsid w:val="7FBF4149"/>
    <w:rsid w:val="7FBFA05E"/>
    <w:rsid w:val="7FD70F89"/>
    <w:rsid w:val="7FF372F1"/>
    <w:rsid w:val="7FF70C96"/>
    <w:rsid w:val="7FF9387F"/>
    <w:rsid w:val="7FF98220"/>
    <w:rsid w:val="7FFFBF85"/>
    <w:rsid w:val="7FFFEFF3"/>
    <w:rsid w:val="877FBD77"/>
    <w:rsid w:val="8DDA8B3F"/>
    <w:rsid w:val="9BD6284B"/>
    <w:rsid w:val="9FBBC677"/>
    <w:rsid w:val="9FFBDE37"/>
    <w:rsid w:val="A67FD0D1"/>
    <w:rsid w:val="AE1EEB4B"/>
    <w:rsid w:val="AFFF64B8"/>
    <w:rsid w:val="B21B0271"/>
    <w:rsid w:val="B5CD65BD"/>
    <w:rsid w:val="B7B70F78"/>
    <w:rsid w:val="B9D65EDC"/>
    <w:rsid w:val="BBFA376A"/>
    <w:rsid w:val="BDFF1EED"/>
    <w:rsid w:val="BE7D00A1"/>
    <w:rsid w:val="BF7BC552"/>
    <w:rsid w:val="BF7F5BC4"/>
    <w:rsid w:val="BFB69A84"/>
    <w:rsid w:val="BFBF276C"/>
    <w:rsid w:val="BFF6B3DE"/>
    <w:rsid w:val="BFF74B07"/>
    <w:rsid w:val="BFF953FC"/>
    <w:rsid w:val="CBFBB60B"/>
    <w:rsid w:val="CCFEFD0D"/>
    <w:rsid w:val="CFB7D701"/>
    <w:rsid w:val="D12FC698"/>
    <w:rsid w:val="D77AAA92"/>
    <w:rsid w:val="DAF76045"/>
    <w:rsid w:val="DF7F8291"/>
    <w:rsid w:val="DFFB83A0"/>
    <w:rsid w:val="E27F6D32"/>
    <w:rsid w:val="E5B60BCB"/>
    <w:rsid w:val="EBF2111E"/>
    <w:rsid w:val="ED3FB2E4"/>
    <w:rsid w:val="EDB7BEDA"/>
    <w:rsid w:val="EDBCB61C"/>
    <w:rsid w:val="EF7D813E"/>
    <w:rsid w:val="EF7F63CE"/>
    <w:rsid w:val="EFAF1BD3"/>
    <w:rsid w:val="EFFF7C42"/>
    <w:rsid w:val="F0D7FFCD"/>
    <w:rsid w:val="F79FA740"/>
    <w:rsid w:val="F7F516A1"/>
    <w:rsid w:val="F7FFE1D7"/>
    <w:rsid w:val="F85FA3A3"/>
    <w:rsid w:val="F9BE6336"/>
    <w:rsid w:val="F9F43925"/>
    <w:rsid w:val="FAE76C03"/>
    <w:rsid w:val="FB933DCD"/>
    <w:rsid w:val="FD375368"/>
    <w:rsid w:val="FDEDDD20"/>
    <w:rsid w:val="FE3FAB3D"/>
    <w:rsid w:val="FE7F738F"/>
    <w:rsid w:val="FECF9CA3"/>
    <w:rsid w:val="FEEF9181"/>
    <w:rsid w:val="FF6FF52C"/>
    <w:rsid w:val="FFCF3F7B"/>
    <w:rsid w:val="FFE62BFB"/>
    <w:rsid w:val="FFED2599"/>
    <w:rsid w:val="FFF54F9A"/>
    <w:rsid w:val="FFFC64D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1"/>
    <w:qFormat/>
    <w:uiPriority w:val="0"/>
    <w:pPr>
      <w:keepNext/>
      <w:keepLines/>
      <w:spacing w:before="340" w:after="330" w:line="578" w:lineRule="auto"/>
      <w:jc w:val="left"/>
      <w:outlineLvl w:val="0"/>
    </w:pPr>
    <w:rPr>
      <w:rFonts w:ascii="Calibri" w:hAnsi="Calibri" w:eastAsia="黑体"/>
      <w:b/>
      <w:bCs/>
      <w:kern w:val="44"/>
      <w:sz w:val="36"/>
      <w:szCs w:val="44"/>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3">
    <w:name w:val="annotation text"/>
    <w:basedOn w:val="1"/>
    <w:link w:val="35"/>
    <w:unhideWhenUsed/>
    <w:qFormat/>
    <w:uiPriority w:val="0"/>
    <w:pPr>
      <w:jc w:val="left"/>
    </w:pPr>
  </w:style>
  <w:style w:type="paragraph" w:styleId="4">
    <w:name w:val="Body Text"/>
    <w:basedOn w:val="1"/>
    <w:link w:val="38"/>
    <w:qFormat/>
    <w:uiPriority w:val="0"/>
    <w:pPr>
      <w:adjustRightInd w:val="0"/>
      <w:snapToGrid w:val="0"/>
    </w:pPr>
    <w:rPr>
      <w:rFonts w:ascii="宋体" w:hAnsi="宋体"/>
      <w:b/>
    </w:rPr>
  </w:style>
  <w:style w:type="paragraph" w:styleId="5">
    <w:name w:val="Plain Text"/>
    <w:basedOn w:val="1"/>
    <w:link w:val="41"/>
    <w:qFormat/>
    <w:uiPriority w:val="0"/>
    <w:rPr>
      <w:rFonts w:ascii="宋体" w:hAnsi="Courier New"/>
      <w:kern w:val="0"/>
      <w:sz w:val="20"/>
    </w:rPr>
  </w:style>
  <w:style w:type="paragraph" w:styleId="6">
    <w:name w:val="Balloon Text"/>
    <w:basedOn w:val="1"/>
    <w:link w:val="44"/>
    <w:qFormat/>
    <w:uiPriority w:val="0"/>
    <w:rPr>
      <w:kern w:val="0"/>
      <w:sz w:val="18"/>
    </w:rPr>
  </w:style>
  <w:style w:type="paragraph" w:styleId="7">
    <w:name w:val="footer"/>
    <w:basedOn w:val="1"/>
    <w:link w:val="43"/>
    <w:qFormat/>
    <w:uiPriority w:val="0"/>
    <w:pPr>
      <w:tabs>
        <w:tab w:val="center" w:pos="4153"/>
        <w:tab w:val="right" w:pos="8306"/>
      </w:tabs>
      <w:snapToGrid w:val="0"/>
      <w:jc w:val="left"/>
    </w:pPr>
    <w:rPr>
      <w:kern w:val="0"/>
      <w:sz w:val="18"/>
    </w:rPr>
  </w:style>
  <w:style w:type="paragraph" w:styleId="8">
    <w:name w:val="header"/>
    <w:basedOn w:val="1"/>
    <w:link w:val="33"/>
    <w:qFormat/>
    <w:uiPriority w:val="0"/>
    <w:pPr>
      <w:pBdr>
        <w:bottom w:val="single" w:color="auto" w:sz="6" w:space="1"/>
      </w:pBdr>
      <w:tabs>
        <w:tab w:val="center" w:pos="4153"/>
        <w:tab w:val="right" w:pos="8306"/>
      </w:tabs>
      <w:snapToGrid w:val="0"/>
      <w:jc w:val="center"/>
    </w:pPr>
    <w:rPr>
      <w:kern w:val="0"/>
      <w:sz w:val="18"/>
    </w:rPr>
  </w:style>
  <w:style w:type="paragraph" w:styleId="9">
    <w:name w:val="toc 1"/>
    <w:basedOn w:val="1"/>
    <w:next w:val="1"/>
    <w:qFormat/>
    <w:uiPriority w:val="0"/>
  </w:style>
  <w:style w:type="paragraph" w:styleId="10">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11">
    <w:name w:val="annotation subject"/>
    <w:basedOn w:val="3"/>
    <w:next w:val="3"/>
    <w:link w:val="49"/>
    <w:qFormat/>
    <w:uiPriority w:val="0"/>
    <w:rPr>
      <w:b/>
      <w:kern w:val="0"/>
      <w:sz w:val="20"/>
    </w:rPr>
  </w:style>
  <w:style w:type="paragraph" w:styleId="12">
    <w:name w:val="Body Text First Indent"/>
    <w:basedOn w:val="4"/>
    <w:qFormat/>
    <w:uiPriority w:val="0"/>
    <w:pPr>
      <w:adjustRightInd/>
      <w:snapToGrid/>
      <w:spacing w:after="120"/>
      <w:ind w:firstLine="420" w:firstLineChars="100"/>
    </w:pPr>
    <w:rPr>
      <w:rFonts w:ascii="Times New Roman" w:hAnsi="Times New Roman"/>
      <w:b w:val="0"/>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qFormat/>
    <w:uiPriority w:val="0"/>
  </w:style>
  <w:style w:type="character" w:styleId="17">
    <w:name w:val="Hyperlink"/>
    <w:qFormat/>
    <w:uiPriority w:val="0"/>
    <w:rPr>
      <w:color w:val="0000FF"/>
      <w:u w:val="single"/>
    </w:rPr>
  </w:style>
  <w:style w:type="character" w:styleId="18">
    <w:name w:val="annotation reference"/>
    <w:qFormat/>
    <w:uiPriority w:val="0"/>
    <w:rPr>
      <w:sz w:val="21"/>
    </w:rPr>
  </w:style>
  <w:style w:type="paragraph" w:customStyle="1" w:styleId="19">
    <w:name w:val="批注主题1"/>
    <w:basedOn w:val="3"/>
    <w:next w:val="3"/>
    <w:link w:val="45"/>
    <w:qFormat/>
    <w:uiPriority w:val="0"/>
    <w:rPr>
      <w:b/>
      <w:kern w:val="0"/>
      <w:sz w:val="20"/>
    </w:rPr>
  </w:style>
  <w:style w:type="paragraph" w:customStyle="1" w:styleId="20">
    <w:name w:val="普通(网站)1"/>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21">
    <w:name w:val="Char Char Char Char Char Char Char"/>
    <w:basedOn w:val="1"/>
    <w:qFormat/>
    <w:uiPriority w:val="0"/>
    <w:rPr>
      <w:rFonts w:ascii="Tahoma" w:hAnsi="Tahoma"/>
      <w:sz w:val="24"/>
    </w:rPr>
  </w:style>
  <w:style w:type="paragraph" w:customStyle="1" w:styleId="22">
    <w:name w:val="列出段落"/>
    <w:basedOn w:val="1"/>
    <w:qFormat/>
    <w:uiPriority w:val="0"/>
    <w:pPr>
      <w:autoSpaceDE w:val="0"/>
      <w:autoSpaceDN w:val="0"/>
      <w:ind w:firstLine="420" w:firstLineChars="200"/>
      <w:jc w:val="left"/>
    </w:pPr>
    <w:rPr>
      <w:rFonts w:ascii="Calibri" w:hAnsi="Calibri" w:cs="宋体"/>
      <w:kern w:val="0"/>
      <w:sz w:val="22"/>
      <w:szCs w:val="22"/>
    </w:rPr>
  </w:style>
  <w:style w:type="paragraph" w:customStyle="1" w:styleId="23">
    <w:name w:val="_Style 22"/>
    <w:unhideWhenUsed/>
    <w:qFormat/>
    <w:uiPriority w:val="99"/>
    <w:rPr>
      <w:rFonts w:ascii="Times New Roman" w:hAnsi="Times New Roman" w:eastAsia="宋体" w:cs="Times New Roman"/>
      <w:kern w:val="2"/>
      <w:sz w:val="21"/>
      <w:lang w:val="en-US" w:eastAsia="zh-CN" w:bidi="ar-SA"/>
    </w:rPr>
  </w:style>
  <w:style w:type="paragraph" w:customStyle="1" w:styleId="24">
    <w:name w:val="纯文本11"/>
    <w:basedOn w:val="1"/>
    <w:qFormat/>
    <w:uiPriority w:val="99"/>
    <w:rPr>
      <w:rFonts w:ascii="宋体" w:hAnsi="Courier New"/>
      <w:kern w:val="0"/>
      <w:sz w:val="20"/>
    </w:rPr>
  </w:style>
  <w:style w:type="paragraph" w:customStyle="1" w:styleId="25">
    <w:name w:val="称呼1"/>
    <w:basedOn w:val="1"/>
    <w:next w:val="1"/>
    <w:qFormat/>
    <w:uiPriority w:val="0"/>
    <w:rPr>
      <w:rFonts w:ascii="仿宋" w:hAnsi="仿宋" w:eastAsia="仿宋"/>
      <w:color w:val="000000"/>
      <w:sz w:val="24"/>
    </w:rPr>
  </w:style>
  <w:style w:type="paragraph" w:customStyle="1" w:styleId="26">
    <w:name w:val="纯文本1"/>
    <w:basedOn w:val="1"/>
    <w:link w:val="40"/>
    <w:qFormat/>
    <w:uiPriority w:val="0"/>
    <w:rPr>
      <w:rFonts w:ascii="宋体" w:hAnsi="Courier New"/>
      <w:kern w:val="0"/>
      <w:sz w:val="20"/>
    </w:rPr>
  </w:style>
  <w:style w:type="paragraph" w:customStyle="1" w:styleId="27">
    <w:name w:val="文档结构图1"/>
    <w:basedOn w:val="1"/>
    <w:link w:val="46"/>
    <w:qFormat/>
    <w:uiPriority w:val="0"/>
    <w:rPr>
      <w:rFonts w:ascii="宋体"/>
      <w:kern w:val="0"/>
      <w:sz w:val="18"/>
    </w:rPr>
  </w:style>
  <w:style w:type="paragraph" w:customStyle="1" w:styleId="28">
    <w:name w:val="修订2"/>
    <w:qFormat/>
    <w:uiPriority w:val="0"/>
    <w:rPr>
      <w:rFonts w:ascii="Times New Roman" w:hAnsi="Times New Roman" w:eastAsia="宋体" w:cs="Times New Roman"/>
      <w:kern w:val="2"/>
      <w:sz w:val="21"/>
      <w:lang w:val="en-US" w:eastAsia="zh-CN" w:bidi="ar-SA"/>
    </w:rPr>
  </w:style>
  <w:style w:type="paragraph" w:customStyle="1" w:styleId="29">
    <w:name w:val="结束语1"/>
    <w:basedOn w:val="1"/>
    <w:qFormat/>
    <w:uiPriority w:val="0"/>
    <w:pPr>
      <w:ind w:left="100" w:leftChars="2100"/>
    </w:pPr>
    <w:rPr>
      <w:rFonts w:ascii="仿宋" w:hAnsi="仿宋" w:eastAsia="仿宋"/>
      <w:color w:val="000000"/>
      <w:sz w:val="24"/>
    </w:rPr>
  </w:style>
  <w:style w:type="paragraph" w:customStyle="1" w:styleId="30">
    <w:name w:val="BodyText1I2"/>
    <w:basedOn w:val="1"/>
    <w:qFormat/>
    <w:uiPriority w:val="0"/>
    <w:pPr>
      <w:autoSpaceDE w:val="0"/>
      <w:autoSpaceDN w:val="0"/>
      <w:ind w:firstLine="420"/>
      <w:jc w:val="left"/>
      <w:textAlignment w:val="baseline"/>
    </w:pPr>
    <w:rPr>
      <w:rFonts w:ascii="宋体" w:hAnsi="宋体" w:cs="宋体"/>
      <w:kern w:val="0"/>
      <w:sz w:val="32"/>
      <w:szCs w:val="22"/>
    </w:rPr>
  </w:style>
  <w:style w:type="paragraph" w:customStyle="1" w:styleId="31">
    <w:name w:val="修订1"/>
    <w:qFormat/>
    <w:uiPriority w:val="0"/>
    <w:rPr>
      <w:rFonts w:ascii="Times New Roman" w:hAnsi="Times New Roman" w:eastAsia="宋体" w:cs="Times New Roman"/>
      <w:kern w:val="2"/>
      <w:sz w:val="21"/>
      <w:lang w:val="en-US" w:eastAsia="zh-CN" w:bidi="ar-SA"/>
    </w:rPr>
  </w:style>
  <w:style w:type="paragraph" w:styleId="32">
    <w:name w:val="No Spacing"/>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3">
    <w:name w:val="页眉 字符"/>
    <w:link w:val="8"/>
    <w:qFormat/>
    <w:uiPriority w:val="0"/>
    <w:rPr>
      <w:sz w:val="18"/>
    </w:rPr>
  </w:style>
  <w:style w:type="character" w:customStyle="1" w:styleId="34">
    <w:name w:val="批注框文本 字符1"/>
    <w:semiHidden/>
    <w:qFormat/>
    <w:uiPriority w:val="99"/>
    <w:rPr>
      <w:rFonts w:ascii="Times New Roman" w:hAnsi="Times New Roman" w:eastAsia="宋体" w:cs="Times New Roman"/>
      <w:sz w:val="18"/>
      <w:szCs w:val="18"/>
    </w:rPr>
  </w:style>
  <w:style w:type="character" w:customStyle="1" w:styleId="35">
    <w:name w:val="批注文字 字符1"/>
    <w:link w:val="3"/>
    <w:semiHidden/>
    <w:qFormat/>
    <w:uiPriority w:val="99"/>
    <w:rPr>
      <w:rFonts w:ascii="Times New Roman" w:hAnsi="Times New Roman" w:eastAsia="宋体" w:cs="Times New Roman"/>
      <w:szCs w:val="20"/>
    </w:rPr>
  </w:style>
  <w:style w:type="character" w:customStyle="1" w:styleId="36">
    <w:name w:val="页眉 字符1"/>
    <w:semiHidden/>
    <w:qFormat/>
    <w:uiPriority w:val="99"/>
    <w:rPr>
      <w:rFonts w:ascii="Times New Roman" w:hAnsi="Times New Roman" w:eastAsia="宋体" w:cs="Times New Roman"/>
      <w:sz w:val="18"/>
      <w:szCs w:val="18"/>
    </w:rPr>
  </w:style>
  <w:style w:type="character" w:customStyle="1" w:styleId="37">
    <w:name w:val="批注主题 字符1"/>
    <w:semiHidden/>
    <w:qFormat/>
    <w:uiPriority w:val="99"/>
    <w:rPr>
      <w:rFonts w:ascii="Times New Roman" w:hAnsi="Times New Roman" w:eastAsia="宋体" w:cs="Times New Roman"/>
      <w:b/>
      <w:bCs/>
      <w:szCs w:val="20"/>
    </w:rPr>
  </w:style>
  <w:style w:type="character" w:customStyle="1" w:styleId="38">
    <w:name w:val="正文文本 字符"/>
    <w:link w:val="4"/>
    <w:qFormat/>
    <w:uiPriority w:val="0"/>
    <w:rPr>
      <w:rFonts w:ascii="宋体" w:hAnsi="宋体" w:eastAsia="宋体" w:cs="Times New Roman"/>
      <w:b/>
      <w:szCs w:val="20"/>
    </w:rPr>
  </w:style>
  <w:style w:type="character" w:customStyle="1" w:styleId="39">
    <w:name w:val="纯文本 字符1"/>
    <w:semiHidden/>
    <w:qFormat/>
    <w:uiPriority w:val="99"/>
    <w:rPr>
      <w:rFonts w:ascii="等线" w:hAnsi="Courier New" w:cs="Courier New"/>
      <w:szCs w:val="20"/>
    </w:rPr>
  </w:style>
  <w:style w:type="character" w:customStyle="1" w:styleId="40">
    <w:name w:val="纯文本 Char"/>
    <w:link w:val="26"/>
    <w:qFormat/>
    <w:uiPriority w:val="0"/>
    <w:rPr>
      <w:rFonts w:ascii="宋体" w:hAnsi="Courier New"/>
    </w:rPr>
  </w:style>
  <w:style w:type="character" w:customStyle="1" w:styleId="41">
    <w:name w:val="纯文本 字符"/>
    <w:link w:val="5"/>
    <w:qFormat/>
    <w:uiPriority w:val="0"/>
    <w:rPr>
      <w:rFonts w:ascii="宋体" w:hAnsi="Courier New"/>
    </w:rPr>
  </w:style>
  <w:style w:type="character" w:customStyle="1" w:styleId="42">
    <w:name w:val="批注引用1"/>
    <w:qFormat/>
    <w:uiPriority w:val="0"/>
    <w:rPr>
      <w:sz w:val="21"/>
    </w:rPr>
  </w:style>
  <w:style w:type="character" w:customStyle="1" w:styleId="43">
    <w:name w:val="页脚 字符"/>
    <w:link w:val="7"/>
    <w:qFormat/>
    <w:uiPriority w:val="0"/>
    <w:rPr>
      <w:sz w:val="18"/>
    </w:rPr>
  </w:style>
  <w:style w:type="character" w:customStyle="1" w:styleId="44">
    <w:name w:val="批注框文本 字符"/>
    <w:link w:val="6"/>
    <w:qFormat/>
    <w:uiPriority w:val="0"/>
    <w:rPr>
      <w:sz w:val="18"/>
    </w:rPr>
  </w:style>
  <w:style w:type="character" w:customStyle="1" w:styleId="45">
    <w:name w:val="批注主题 Char"/>
    <w:link w:val="19"/>
    <w:qFormat/>
    <w:uiPriority w:val="0"/>
    <w:rPr>
      <w:b/>
    </w:rPr>
  </w:style>
  <w:style w:type="character" w:customStyle="1" w:styleId="46">
    <w:name w:val="文档结构图 Char"/>
    <w:link w:val="27"/>
    <w:qFormat/>
    <w:uiPriority w:val="0"/>
    <w:rPr>
      <w:rFonts w:ascii="宋体"/>
      <w:sz w:val="18"/>
    </w:rPr>
  </w:style>
  <w:style w:type="character" w:customStyle="1" w:styleId="47">
    <w:name w:val="批注文字 字符"/>
    <w:qFormat/>
    <w:uiPriority w:val="0"/>
    <w:rPr>
      <w:kern w:val="2"/>
      <w:sz w:val="21"/>
    </w:rPr>
  </w:style>
  <w:style w:type="character" w:customStyle="1" w:styleId="48">
    <w:name w:val="页脚 字符1"/>
    <w:semiHidden/>
    <w:qFormat/>
    <w:uiPriority w:val="99"/>
    <w:rPr>
      <w:rFonts w:ascii="Times New Roman" w:hAnsi="Times New Roman" w:eastAsia="宋体" w:cs="Times New Roman"/>
      <w:sz w:val="18"/>
      <w:szCs w:val="18"/>
    </w:rPr>
  </w:style>
  <w:style w:type="character" w:customStyle="1" w:styleId="49">
    <w:name w:val="批注主题 字符"/>
    <w:link w:val="11"/>
    <w:qFormat/>
    <w:uiPriority w:val="0"/>
    <w:rPr>
      <w:b/>
    </w:rPr>
  </w:style>
  <w:style w:type="character" w:customStyle="1" w:styleId="50">
    <w:name w:val="页码1"/>
    <w:qFormat/>
    <w:uiPriority w:val="0"/>
  </w:style>
  <w:style w:type="character" w:customStyle="1" w:styleId="51">
    <w:name w:val="标题 1 字符"/>
    <w:link w:val="2"/>
    <w:qFormat/>
    <w:uiPriority w:val="0"/>
    <w:rPr>
      <w:rFonts w:ascii="Calibri" w:hAnsi="Calibri" w:eastAsia="黑体" w:cs="Times New Roman"/>
      <w:b/>
      <w:bCs/>
      <w:kern w:val="44"/>
      <w:sz w:val="36"/>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2314</Words>
  <Characters>2851</Characters>
  <Lines>730</Lines>
  <Paragraphs>205</Paragraphs>
  <TotalTime>2</TotalTime>
  <ScaleCrop>false</ScaleCrop>
  <LinksUpToDate>false</LinksUpToDate>
  <CharactersWithSpaces>3250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2024-01-25T17:32:00Z</dcterms:created>
  <dc:creator>xzl11111@163.com</dc:creator>
  <cp:lastModifiedBy>相依</cp:lastModifiedBy>
  <cp:lastPrinted>2024-03-22T09:25:00Z</cp:lastPrinted>
  <dcterms:modified xsi:type="dcterms:W3CDTF">2026-08-13T08:44:52Z</dcterms:modified>
  <dc:title>附件1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650EF3A5BCA8468BBA86A37EF7E0DABE_13</vt:lpwstr>
  </property>
  <property fmtid="{D5CDD505-2E9C-101B-9397-08002B2CF9AE}" pid="4" name="KSOTemplateDocerSaveRecord">
    <vt:lpwstr>eyJoZGlkIjoiMjA4YjkwNDA5N2U0ZTkxM2Q3Zjg1MzIzZjU4OTY5MmIiLCJ1c2VySWQiOiIyNDkxNjIzMDcifQ==</vt:lpwstr>
  </property>
</Properties>
</file>