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224" w:lineRule="auto"/>
        <w:ind w:left="4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5"/>
          <w:sz w:val="28"/>
          <w:szCs w:val="28"/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sz w:val="28"/>
          <w:szCs w:val="28"/>
        </w:rPr>
        <w:t>件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13"/>
          <w:sz w:val="44"/>
          <w:szCs w:val="44"/>
        </w:rPr>
        <w:t>产业到户项目补助流程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cs="Times New Roman"/>
          <w:spacing w:val="26"/>
        </w:rPr>
      </w:pPr>
      <w:r>
        <w:rPr>
          <w:rFonts w:hint="default" w:ascii="Times New Roman" w:hAnsi="Times New Roman" w:cs="Times New Roman"/>
          <w:spacing w:val="26"/>
        </w:rPr>
        <w:t>(参考模板)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cs="Times New Roman"/>
          <w:spacing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1.帮扶对象。自愿向村民委员会提出申请；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532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2.村民委员会。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初审汇总、民主决策，公示后按程序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上报乡镇人民政府审核。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549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3.乡镇人民政府。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组织核实并公示，按程序上报农业农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村局(乡村振兴局)。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345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农业农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村局(乡村振兴局)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会同行业部门审核论证，按程序纳入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项目库，编制项目计划上报县级人民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政府审定后，按规定进行立项审批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549" w:firstLine="616" w:firstLineChars="200"/>
        <w:textAlignment w:val="auto"/>
        <w:rPr>
          <w:rFonts w:hint="default"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5.乡镇人民政府、村委会。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组织帮扶对象实施项目，把控项目进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度和质量。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549" w:firstLine="600" w:firstLineChars="200"/>
        <w:textAlignment w:val="auto"/>
        <w:rPr>
          <w:rFonts w:hint="default" w:ascii="Times New Roman" w:hAnsi="Times New Roman" w:eastAsia="仿宋_GB2312" w:cs="Times New Roman"/>
          <w:spacing w:val="-1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6.帮扶对象。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按照项目计划实施，实施完成后申请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345" w:firstLine="568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1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8"/>
          <w:sz w:val="32"/>
          <w:szCs w:val="32"/>
          <w:lang w:val="en-US" w:eastAsia="zh-CN"/>
        </w:rPr>
        <w:t>7.乡镇人民政府。组织项目验收，汇总验收结果并公示。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20" w:firstLine="56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8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农业农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村局(乡村振兴局)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会同行业部门按总规模10%比例抽检。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8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乡镇人民政府。抽检结果进行公示后，履行补助资金申请程序。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10.财政部门。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相关程序履行完后，及时兑付补助资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96" w:firstLineChars="200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11.帮扶对象。领取补助资金。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329A"/>
    <w:rsid w:val="0A8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2024-08-13T22:25:00Z</dcterms:created>
  <dc:creator>Administrator</dc:creator>
  <cp:lastModifiedBy>Administrator</cp:lastModifiedBy>
  <dcterms:modified xsi:type="dcterms:W3CDTF">2024-08-13T22:25:33Z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