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6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  <w:lang w:val="en-US" w:eastAsia="zh-CN"/>
        </w:rPr>
        <w:t>尼勒克县生态环境局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  <w:t>生态环境执法“双随机、一公开”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6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  <w:t>监管工作事后信息公开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spacing w:val="7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8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年4月1日至6月28日，伊犁州生态环境局组织开展第2季度生态环境“双随机、一公开”监管工作，抽取了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一般监管对象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家，重点监管对象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家，特殊监管对象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家。现将具体信息公开如下：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年第2季度伊犁州生态环境局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生态环境执法“双随机、一公开”抽查结果信息公开表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年第2季度伊犁州生态环境局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生态环境执法“双随机、一公开”抽查人员信息公开表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8" w:firstLineChars="12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伊犁州生态环境局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008" w:firstLineChars="1200"/>
        <w:jc w:val="both"/>
        <w:rPr>
          <w:rFonts w:hint="eastAsia" w:ascii="微软雅黑" w:hAnsi="微软雅黑" w:eastAsia="微软雅黑" w:cs="微软雅黑"/>
          <w:i w:val="0"/>
          <w:caps w:val="0"/>
          <w:spacing w:val="7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2024年0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30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244F"/>
    <w:rsid w:val="2128060A"/>
    <w:rsid w:val="2CAF3D76"/>
    <w:rsid w:val="423D5BF4"/>
    <w:rsid w:val="53830B5D"/>
    <w:rsid w:val="5C8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kuche</dc:creator>
  <cp:lastModifiedBy>kuche</cp:lastModifiedBy>
  <dcterms:modified xsi:type="dcterms:W3CDTF">2025-06-30T04:05:57Z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