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伊犁州生态环境局尼勒克县分局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裁量基准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一、总则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1. 目的：为规范生态环境行政处罚行为，确保行政处罚裁量的科学性、公正性和合理性，根据相关法律法规，结合本地实际，制定本裁量基准。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2. 适用范围：本基准适用于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伊犁州生态环境局尼勒克县分局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管辖范围内的行政处罚案件。法律、法规、规章另有规定的，从其规定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3. 基本原则：行政处罚裁量应当遵循合法、公正、公开、过罚相当、处罚与教育相结合的原则，综合考虑违法行为的事实、性质、情节、危害后果等因素。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二、裁量因素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1. 违法事实：包括违法排污行为的种类、方式、持续时间、排污量等。如违法排放污水，需明确排放的污染物种类、浓度、排放时长及总量。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2. 违法性质：区分故意违法与过失违法，如故意篡改监测数据性质严重，过失导致数据异常则相对较轻。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3. 违法情节：考虑是否初犯、是否配合调查、有无主动减轻危害后果等。初犯且主动整改的情节较轻；抗拒调查、多次违法情节严重。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4. 危害后果：评估对环境、人体健康造成的实际损害或潜在风险。如造成饮用水源污染，危害后果严重；轻微超标未造成实质影响，危害后果较轻。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三、裁量等级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1. 轻微违法行为：首次违法、情节显著轻微、及时纠正且未造成危害后果的，可免予处罚或给予警告。如企业首次轻微超标排放，立即整改且未污染周边环境，可给予警告。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2. 一般违法行为：违法情节较轻，危害后果较小，处以罚款，罚款幅度为法定最低罚款额至最高罚款额的40%。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3. 较重违法行为：违法情节较重，危害后果较大，罚款幅度为法定最高罚款额的40% - 80%，可并处责令停产停业等。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4. 严重违法行为：违法情节恶劣，危害后果严重，罚款幅度为法定最高罚款额的80%以上，可吊销许可证等。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四、裁量程序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1. 调查取证：执法人员全面收集证据，包括书证、物证、视听资料、证人证言等，详细记录违法事实、情节和危害后果。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2. 提出建议：执法人员根据违法事实和裁量基准，提出行政处罚建议，说明裁量理由和依据。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3. 审核决定：法制部门对处罚建议进行审核，重大案件集体讨论决定，确保裁量合法合理。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4. 告知送达：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作出处罚决定前，告知当事人处罚事实、理由、依据和享有的权利；决定作出后，依法送达。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五、附则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1. 本基准自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年 月 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起施行，可根据法律法规修订和实际执法情况适时调整。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2. 本基准由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伊犁州生态环境局尼勒克县分局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负责解释。</w:t>
      </w:r>
    </w:p>
    <w:sectPr>
      <w:pgSz w:w="12240" w:h="15840"/>
      <w:pgMar w:top="2098" w:right="1474" w:bottom="1984" w:left="158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TrackMoves/>
  <w:documentProtection w:enforcement="0"/>
  <w:defaultTabStop w:val="720"/>
  <w:doNotShadeFormData w:val="1"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44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uiPriority w:val="0"/>
    <w:rPr>
      <w:rFonts w:ascii="Calibri" w:hAnsi="Calibri" w:eastAsia="宋体" w:cs="Times New Roman"/>
    </w:rPr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1008</Words>
  <Characters>1039</Characters>
  <Paragraphs>45</Paragraphs>
  <TotalTime>9</TotalTime>
  <ScaleCrop>false</ScaleCrop>
  <LinksUpToDate>false</LinksUpToDate>
  <CharactersWithSpaces>1081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2025-03-20T03:49:00Z</dcterms:created>
  <dc:creator>NTH-AN00</dc:creator>
  <cp:lastModifiedBy>kuche</cp:lastModifiedBy>
  <dcterms:modified xsi:type="dcterms:W3CDTF">2025-03-20T04:02:02Z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684d7c5120f94180b156cd2cf3053ced_21</vt:lpwstr>
  </property>
  <property fmtid="{D5CDD505-2E9C-101B-9397-08002B2CF9AE}" pid="3" name="KSOProductBuildVer">
    <vt:lpwstr>2052-11.8.2.8053</vt:lpwstr>
  </property>
</Properties>
</file>