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no"?>
<Relationships xmlns="http://schemas.openxmlformats.org/package/2006/relationships">
<Relationship Id="rId1" Target="word/document.xml" Type="http://schemas.openxmlformats.org/officeDocument/2006/relationships/officeDocument"/>
<Relationship Id="rId2" Target="docProps/core.xml" Type="http://schemas.openxmlformats.org/package/2006/relationships/metadata/core-properties"/>
<Relationship Id="rId3" Target="docProps/app.xml" Type="http://schemas.openxmlformats.org/officeDocument/2006/relationships/extended-properties"/>
<Relationship Id="rId4" Target="docProps/custom.xml" Type="http://schemas.openxmlformats.org/officeDocument/2006/relationships/custom-properties"/>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7079FFDE" w14:textId="77777777" w:rsidR="00B30C15" w:rsidRDefault="00DB6A4D">
      <w:pPr>
        <w:spacing w:line="540" w:lineRule="exact"/>
        <w:jc w:val="left"/>
        <w:rPr>
          <w:rFonts w:ascii="仿宋" w:eastAsia="仿宋" w:hAnsi="仿宋" w:cs="宋体"/>
          <w:kern w:val="0"/>
          <w:sz w:val="32"/>
          <w:szCs w:val="32"/>
        </w:rPr>
      </w:pPr>
      <w:r>
        <w:rPr>
          <w:rFonts w:ascii="仿宋" w:eastAsia="仿宋" w:hAnsi="仿宋" w:cs="宋体" w:hint="eastAsia"/>
          <w:kern w:val="0"/>
          <w:sz w:val="32"/>
          <w:szCs w:val="32"/>
        </w:rPr>
        <w:t>附件2：</w:t>
      </w:r>
    </w:p>
    <w:p w14:paraId="1359DBB7" w14:textId="77777777" w:rsidR="00B30C15" w:rsidRDefault="00B30C15">
      <w:pPr>
        <w:spacing w:line="540" w:lineRule="exact"/>
        <w:jc w:val="center"/>
        <w:rPr>
          <w:rFonts w:ascii="华文中宋" w:eastAsia="华文中宋" w:hAnsi="华文中宋" w:cs="宋体"/>
          <w:b/>
          <w:kern w:val="0"/>
          <w:sz w:val="52"/>
          <w:szCs w:val="52"/>
        </w:rPr>
      </w:pPr>
    </w:p>
    <w:p w14:paraId="794EBCE4" w14:textId="77777777" w:rsidR="00B30C15" w:rsidRDefault="00B30C15">
      <w:pPr>
        <w:spacing w:line="540" w:lineRule="exact"/>
        <w:jc w:val="center"/>
        <w:rPr>
          <w:rFonts w:ascii="华文中宋" w:eastAsia="华文中宋" w:hAnsi="华文中宋" w:cs="宋体"/>
          <w:b/>
          <w:kern w:val="0"/>
          <w:sz w:val="52"/>
          <w:szCs w:val="52"/>
        </w:rPr>
      </w:pPr>
    </w:p>
    <w:p w14:paraId="5CB1669F" w14:textId="77777777" w:rsidR="00B30C15" w:rsidRDefault="00B30C15">
      <w:pPr>
        <w:spacing w:line="540" w:lineRule="exact"/>
        <w:jc w:val="center"/>
        <w:rPr>
          <w:rFonts w:ascii="华文中宋" w:eastAsia="华文中宋" w:hAnsi="华文中宋" w:cs="宋体"/>
          <w:b/>
          <w:kern w:val="0"/>
          <w:sz w:val="52"/>
          <w:szCs w:val="52"/>
        </w:rPr>
      </w:pPr>
    </w:p>
    <w:p w14:paraId="1CBABBE7" w14:textId="77777777" w:rsidR="00B30C15" w:rsidRDefault="00B30C15">
      <w:pPr>
        <w:spacing w:line="540" w:lineRule="exact"/>
        <w:jc w:val="center"/>
        <w:rPr>
          <w:rFonts w:ascii="华文中宋" w:eastAsia="华文中宋" w:hAnsi="华文中宋" w:cs="宋体"/>
          <w:b/>
          <w:kern w:val="0"/>
          <w:sz w:val="52"/>
          <w:szCs w:val="52"/>
        </w:rPr>
      </w:pPr>
    </w:p>
    <w:p w14:paraId="42C7541A" w14:textId="77777777" w:rsidR="00B30C15" w:rsidRDefault="00B30C15">
      <w:pPr>
        <w:spacing w:line="540" w:lineRule="exact"/>
        <w:jc w:val="center"/>
        <w:rPr>
          <w:rFonts w:ascii="华文中宋" w:eastAsia="华文中宋" w:hAnsi="华文中宋" w:cs="宋体"/>
          <w:b/>
          <w:kern w:val="0"/>
          <w:sz w:val="52"/>
          <w:szCs w:val="52"/>
        </w:rPr>
      </w:pPr>
    </w:p>
    <w:p w14:paraId="73F23259" w14:textId="77777777" w:rsidR="00B30C15" w:rsidRDefault="00B30C15">
      <w:pPr>
        <w:spacing w:line="540" w:lineRule="exact"/>
        <w:jc w:val="center"/>
        <w:rPr>
          <w:rFonts w:ascii="华文中宋" w:eastAsia="华文中宋" w:hAnsi="华文中宋" w:cs="宋体"/>
          <w:b/>
          <w:kern w:val="0"/>
          <w:sz w:val="52"/>
          <w:szCs w:val="52"/>
        </w:rPr>
      </w:pPr>
    </w:p>
    <w:p w14:paraId="2D82766C" w14:textId="15BA8B5A" w:rsidR="00B30C15" w:rsidRDefault="00DB6A4D">
      <w:pPr>
        <w:spacing w:line="540" w:lineRule="exact"/>
        <w:jc w:val="center"/>
        <w:rPr>
          <w:rFonts w:ascii="方正小标宋_GBK" w:eastAsia="方正小标宋_GBK" w:hAnsi="华文中宋" w:cs="宋体"/>
          <w:b/>
          <w:kern w:val="0"/>
          <w:sz w:val="48"/>
          <w:szCs w:val="48"/>
        </w:rPr>
      </w:pPr>
      <w:r>
        <w:rPr>
          <w:rFonts w:ascii="方正小标宋_GBK" w:eastAsia="方正小标宋_GBK" w:hAnsi="华文中宋" w:cs="宋体" w:hint="eastAsia"/>
          <w:b/>
          <w:kern w:val="0"/>
          <w:sz w:val="48"/>
          <w:szCs w:val="48"/>
        </w:rPr>
        <w:t>项目支出绩效自评报告</w:t>
      </w:r>
    </w:p>
    <w:p w14:paraId="0105CAE8" w14:textId="77777777" w:rsidR="00B30C15" w:rsidRDefault="00B30C15">
      <w:pPr>
        <w:spacing w:line="540" w:lineRule="exact"/>
        <w:jc w:val="center"/>
        <w:rPr>
          <w:rFonts w:ascii="华文中宋" w:eastAsia="华文中宋" w:hAnsi="华文中宋" w:cs="宋体"/>
          <w:b/>
          <w:kern w:val="0"/>
          <w:sz w:val="52"/>
          <w:szCs w:val="52"/>
        </w:rPr>
      </w:pPr>
    </w:p>
    <w:p w14:paraId="5645C633" w14:textId="77777777" w:rsidR="00B30C15" w:rsidRDefault="00DB6A4D">
      <w:pPr>
        <w:spacing w:line="540" w:lineRule="exact"/>
        <w:jc w:val="center"/>
        <w:rPr>
          <w:rFonts w:eastAsia="仿宋_GB2312" w:hAnsi="宋体" w:cs="宋体"/>
          <w:kern w:val="0"/>
          <w:sz w:val="36"/>
          <w:szCs w:val="36"/>
        </w:rPr>
      </w:pPr>
      <w:r>
        <w:rPr>
          <w:rFonts w:eastAsia="仿宋_GB2312" w:hAnsi="宋体" w:cs="宋体" w:hint="eastAsia"/>
          <w:kern w:val="0"/>
          <w:sz w:val="36"/>
          <w:szCs w:val="36"/>
        </w:rPr>
        <w:t>（</w:t>
      </w:r>
      <w:r>
        <w:rPr>
          <w:rFonts w:eastAsia="仿宋_GB2312" w:hAnsi="宋体" w:cs="宋体" w:hint="eastAsia"/>
          <w:kern w:val="0"/>
          <w:sz w:val="36"/>
          <w:szCs w:val="36"/>
        </w:rPr>
        <w:t xml:space="preserve">   </w:t>
      </w:r>
      <w:r>
        <w:rPr>
          <w:rStyle w:val="ad"/>
          <w:rFonts w:ascii="楷体" w:eastAsia="楷体" w:hAnsi="楷体" w:hint="eastAsia"/>
          <w:spacing w:val="-4"/>
          <w:sz w:val="32"/>
          <w:szCs w:val="32"/>
        </w:rPr>
        <w:t>2024</w:t>
      </w:r>
      <w:proofErr w:type="spellStart"/>
      <w:proofErr w:type="spellEnd"/>
      <w:r>
        <w:rPr>
          <w:rFonts w:eastAsia="仿宋_GB2312" w:hAnsi="宋体" w:cs="宋体" w:hint="eastAsia"/>
          <w:kern w:val="0"/>
          <w:sz w:val="36"/>
          <w:szCs w:val="36"/>
        </w:rPr>
        <w:t xml:space="preserve">  </w:t>
      </w:r>
      <w:r>
        <w:rPr>
          <w:rFonts w:eastAsia="仿宋_GB2312" w:hAnsi="宋体" w:cs="宋体" w:hint="eastAsia"/>
          <w:kern w:val="0"/>
          <w:sz w:val="36"/>
          <w:szCs w:val="36"/>
        </w:rPr>
        <w:t>年度）</w:t>
      </w:r>
    </w:p>
    <w:p w14:paraId="4DD17AE7" w14:textId="77777777" w:rsidR="00B30C15" w:rsidRDefault="00B30C15">
      <w:pPr>
        <w:spacing w:line="540" w:lineRule="exact"/>
        <w:jc w:val="center"/>
        <w:rPr>
          <w:rFonts w:eastAsia="仿宋_GB2312" w:hAnsi="宋体" w:cs="宋体"/>
          <w:kern w:val="0"/>
          <w:sz w:val="30"/>
          <w:szCs w:val="30"/>
        </w:rPr>
      </w:pPr>
    </w:p>
    <w:p w14:paraId="7864D631" w14:textId="77777777" w:rsidR="00B30C15" w:rsidRDefault="00B30C15">
      <w:pPr>
        <w:spacing w:line="540" w:lineRule="exact"/>
        <w:jc w:val="center"/>
        <w:rPr>
          <w:rFonts w:eastAsia="仿宋_GB2312" w:hAnsi="宋体" w:cs="宋体"/>
          <w:kern w:val="0"/>
          <w:sz w:val="30"/>
          <w:szCs w:val="30"/>
        </w:rPr>
      </w:pPr>
    </w:p>
    <w:p w14:paraId="1951DA0C" w14:textId="77777777" w:rsidR="00B30C15" w:rsidRDefault="00B30C15">
      <w:pPr>
        <w:spacing w:line="540" w:lineRule="exact"/>
        <w:jc w:val="center"/>
        <w:rPr>
          <w:rFonts w:eastAsia="仿宋_GB2312" w:hAnsi="宋体" w:cs="宋体"/>
          <w:kern w:val="0"/>
          <w:sz w:val="30"/>
          <w:szCs w:val="30"/>
        </w:rPr>
      </w:pPr>
    </w:p>
    <w:p w14:paraId="7426BE0C" w14:textId="77777777" w:rsidR="00B30C15" w:rsidRDefault="00B30C15">
      <w:pPr>
        <w:spacing w:line="540" w:lineRule="exact"/>
        <w:jc w:val="center"/>
        <w:rPr>
          <w:rFonts w:eastAsia="仿宋_GB2312" w:hAnsi="宋体" w:cs="宋体"/>
          <w:kern w:val="0"/>
          <w:sz w:val="30"/>
          <w:szCs w:val="30"/>
        </w:rPr>
      </w:pPr>
    </w:p>
    <w:p w14:paraId="0D55BB56" w14:textId="77777777" w:rsidR="00B30C15" w:rsidRDefault="00B30C15">
      <w:pPr>
        <w:spacing w:line="540" w:lineRule="exact"/>
        <w:jc w:val="center"/>
        <w:rPr>
          <w:rFonts w:eastAsia="仿宋_GB2312" w:hAnsi="宋体" w:cs="宋体"/>
          <w:kern w:val="0"/>
          <w:sz w:val="30"/>
          <w:szCs w:val="30"/>
        </w:rPr>
      </w:pPr>
    </w:p>
    <w:p w14:paraId="2D009827" w14:textId="77777777" w:rsidR="00B30C15" w:rsidRDefault="00B30C15">
      <w:pPr>
        <w:spacing w:line="540" w:lineRule="exact"/>
        <w:rPr>
          <w:rFonts w:eastAsia="仿宋_GB2312" w:hAnsi="宋体" w:cs="宋体"/>
          <w:kern w:val="0"/>
          <w:sz w:val="30"/>
          <w:szCs w:val="30"/>
        </w:rPr>
      </w:pPr>
    </w:p>
    <w:p w14:paraId="0AD9D5B4" w14:textId="77777777" w:rsidR="00B30C15" w:rsidRDefault="00DB6A4D">
      <w:pPr>
        <w:spacing w:line="700" w:lineRule="exact"/>
        <w:jc w:val="left"/>
        <w:rPr>
          <w:rFonts w:eastAsia="仿宋_GB2312" w:hAnsi="宋体" w:cs="宋体"/>
          <w:kern w:val="0"/>
          <w:sz w:val="36"/>
          <w:szCs w:val="36"/>
        </w:rPr>
      </w:pPr>
      <w:r>
        <w:rPr>
          <w:rFonts w:eastAsia="仿宋_GB2312" w:hAnsi="宋体" w:cs="宋体" w:hint="eastAsia"/>
          <w:kern w:val="0"/>
          <w:sz w:val="36"/>
          <w:szCs w:val="36"/>
        </w:rPr>
        <w:t xml:space="preserve">     </w:t>
      </w:r>
    </w:p>
    <w:p w14:paraId="61E82372" w14:textId="77777777" w:rsidR="00B30C15" w:rsidRDefault="00DB6A4D">
      <w:pPr>
        <w:spacing w:line="700" w:lineRule="exact"/>
        <w:ind w:firstLineChars="250" w:firstLine="900"/>
        <w:jc w:val="left"/>
        <w:rPr>
          <w:rFonts w:eastAsia="仿宋_GB2312" w:hAnsi="宋体" w:cs="宋体"/>
          <w:kern w:val="0"/>
          <w:sz w:val="36"/>
          <w:szCs w:val="36"/>
        </w:rPr>
      </w:pPr>
      <w:r>
        <w:rPr>
          <w:rFonts w:eastAsia="仿宋_GB2312" w:hAnsi="宋体" w:cs="宋体" w:hint="eastAsia"/>
          <w:kern w:val="0"/>
          <w:sz w:val="36"/>
          <w:szCs w:val="36"/>
        </w:rPr>
        <w:t>项目名称：</w:t>
      </w:r>
      <w:r>
        <w:rPr>
          <w:rStyle w:val="ad"/>
          <w:rFonts w:ascii="楷体" w:eastAsia="楷体" w:hAnsi="楷体" w:hint="eastAsia"/>
          <w:spacing w:val="-4"/>
          <w:sz w:val="32"/>
          <w:szCs w:val="32"/>
        </w:rPr>
        <w:t>2023年农村客运补贴资金及城市交通发展奖励资金项目</w:t>
      </w:r>
      <w:proofErr w:type="spellStart"/>
      <w:proofErr w:type="spellEnd"/>
    </w:p>
    <w:p w14:paraId="21A4AA14" w14:textId="77777777" w:rsidR="00B30C15" w:rsidRDefault="00DB6A4D">
      <w:pPr>
        <w:spacing w:line="540" w:lineRule="exact"/>
        <w:ind w:firstLine="567"/>
        <w:rPr>
          <w:rFonts w:ascii="楷体" w:eastAsia="楷体" w:hAnsi="楷体"/>
          <w:b/>
          <w:bCs/>
          <w:spacing w:val="-4"/>
          <w:sz w:val="32"/>
          <w:szCs w:val="32"/>
        </w:rPr>
      </w:pPr>
      <w:r>
        <w:rPr>
          <w:rFonts w:eastAsia="仿宋_GB2312" w:hAnsi="宋体" w:cs="宋体" w:hint="eastAsia"/>
          <w:kern w:val="0"/>
          <w:sz w:val="36"/>
          <w:szCs w:val="36"/>
        </w:rPr>
        <w:t xml:space="preserve">  </w:t>
      </w:r>
      <w:r>
        <w:rPr>
          <w:rFonts w:eastAsia="仿宋_GB2312" w:hAnsi="宋体" w:cs="宋体" w:hint="eastAsia"/>
          <w:kern w:val="0"/>
          <w:sz w:val="36"/>
          <w:szCs w:val="36"/>
        </w:rPr>
        <w:t>实施单位（公章）：</w:t>
      </w:r>
      <w:r>
        <w:rPr>
          <w:rStyle w:val="ad"/>
          <w:rFonts w:ascii="楷体" w:eastAsia="楷体" w:hAnsi="楷体" w:hint="eastAsia"/>
          <w:spacing w:val="-4"/>
          <w:sz w:val="28"/>
          <w:szCs w:val="28"/>
        </w:rPr>
        <w:t>尼勒克县交通运输局本级</w:t>
      </w:r>
      <w:proofErr w:type="spellStart"/>
      <w:proofErr w:type="spellEnd"/>
    </w:p>
    <w:p w14:paraId="451D76B1" w14:textId="77777777" w:rsidR="00B30C15" w:rsidRDefault="00DB6A4D">
      <w:pPr>
        <w:spacing w:line="540" w:lineRule="exact"/>
        <w:ind w:firstLineChars="250" w:firstLine="900"/>
        <w:rPr>
          <w:rFonts w:ascii="楷体" w:eastAsia="楷体" w:hAnsi="楷体"/>
          <w:b/>
          <w:bCs/>
          <w:spacing w:val="-4"/>
          <w:sz w:val="28"/>
          <w:szCs w:val="28"/>
        </w:rPr>
      </w:pPr>
      <w:r>
        <w:rPr>
          <w:rFonts w:eastAsia="仿宋_GB2312" w:hAnsi="宋体" w:cs="宋体" w:hint="eastAsia"/>
          <w:kern w:val="0"/>
          <w:sz w:val="36"/>
          <w:szCs w:val="36"/>
        </w:rPr>
        <w:t>主管部门（公章）：</w:t>
      </w:r>
      <w:r>
        <w:rPr>
          <w:rStyle w:val="ad"/>
          <w:rFonts w:ascii="楷体" w:eastAsia="楷体" w:hAnsi="楷体" w:hint="eastAsia"/>
          <w:spacing w:val="-4"/>
          <w:sz w:val="28"/>
          <w:szCs w:val="28"/>
        </w:rPr>
        <w:t>尼勒克县交通运输局本级</w:t>
      </w:r>
      <w:proofErr w:type="spellStart"/>
      <w:proofErr w:type="spellEnd"/>
    </w:p>
    <w:p w14:paraId="165F2B56" w14:textId="77777777" w:rsidR="00B30C15" w:rsidRDefault="00DB6A4D">
      <w:pPr>
        <w:spacing w:line="540" w:lineRule="exact"/>
        <w:ind w:firstLineChars="250" w:firstLine="900"/>
        <w:rPr>
          <w:rFonts w:ascii="楷体" w:eastAsia="楷体" w:hAnsi="楷体"/>
          <w:b/>
          <w:bCs/>
          <w:spacing w:val="-4"/>
          <w:sz w:val="32"/>
          <w:szCs w:val="32"/>
        </w:rPr>
      </w:pPr>
      <w:r>
        <w:rPr>
          <w:rFonts w:eastAsia="仿宋_GB2312" w:hAnsi="宋体" w:cs="宋体" w:hint="eastAsia"/>
          <w:kern w:val="0"/>
          <w:sz w:val="36"/>
          <w:szCs w:val="36"/>
        </w:rPr>
        <w:t>项目负责人（签章）：</w:t>
      </w:r>
      <w:r>
        <w:rPr>
          <w:rStyle w:val="ad"/>
          <w:rFonts w:ascii="楷体" w:eastAsia="楷体" w:hAnsi="楷体" w:hint="eastAsia"/>
          <w:spacing w:val="-4"/>
          <w:sz w:val="32"/>
          <w:szCs w:val="32"/>
        </w:rPr>
        <w:t>杨新富</w:t>
      </w:r>
      <w:proofErr w:type="spellStart"/>
      <w:proofErr w:type="spellEnd"/>
    </w:p>
    <w:p w14:paraId="5C0E3D36" w14:textId="77777777" w:rsidR="00B30C15" w:rsidRDefault="00DB6A4D">
      <w:pPr>
        <w:spacing w:line="540" w:lineRule="exact"/>
        <w:ind w:left="273" w:firstLine="567"/>
        <w:rPr>
          <w:rStyle w:val="ad"/>
          <w:rFonts w:ascii="楷体" w:eastAsia="楷体" w:hAnsi="楷体"/>
          <w:spacing w:val="-4"/>
          <w:sz w:val="32"/>
          <w:szCs w:val="32"/>
        </w:rPr>
      </w:pPr>
      <w:r>
        <w:rPr>
          <w:rFonts w:eastAsia="仿宋_GB2312" w:hAnsi="宋体" w:cs="宋体" w:hint="eastAsia"/>
          <w:kern w:val="0"/>
          <w:sz w:val="36"/>
          <w:szCs w:val="36"/>
        </w:rPr>
        <w:t>填报时间：</w:t>
      </w:r>
      <w:r>
        <w:rPr>
          <w:rStyle w:val="ad"/>
          <w:rFonts w:ascii="楷体" w:eastAsia="楷体" w:hAnsi="楷体" w:hint="eastAsia"/>
          <w:spacing w:val="-4"/>
          <w:sz w:val="32"/>
          <w:szCs w:val="32"/>
        </w:rPr>
        <w:t>2025年05月16日</w:t>
      </w:r>
    </w:p>
    <w:p w14:paraId="294F1896" w14:textId="77777777" w:rsidR="00B30C15" w:rsidRDefault="00B30C15">
      <w:pPr>
        <w:spacing w:line="700" w:lineRule="exact"/>
        <w:ind w:firstLineChars="236" w:firstLine="708"/>
        <w:jc w:val="left"/>
        <w:rPr>
          <w:rFonts w:eastAsia="仿宋_GB2312" w:hAnsi="宋体" w:cs="宋体"/>
          <w:kern w:val="0"/>
          <w:sz w:val="30"/>
          <w:szCs w:val="30"/>
        </w:rPr>
      </w:pPr>
    </w:p>
    <w:p w14:paraId="5A6EEF68" w14:textId="77777777" w:rsidR="00B30C15" w:rsidRDefault="00B30C15">
      <w:pPr>
        <w:spacing w:line="540" w:lineRule="exact"/>
        <w:rPr>
          <w:rStyle w:val="ad"/>
          <w:rFonts w:ascii="黑体" w:eastAsia="黑体" w:hAnsi="黑体"/>
          <w:b w:val="0"/>
          <w:spacing w:val="-4"/>
          <w:sz w:val="32"/>
          <w:szCs w:val="32"/>
        </w:rPr>
      </w:pPr>
    </w:p>
    <w:p w14:paraId="6CE35C78"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lastRenderedPageBreak/>
        <w:t>一、基本情况</w:t>
      </w:r>
    </w:p>
    <w:p w14:paraId="695F52D0"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（一）项目概况。包括项目背景、主要内容及实施情况、资金投入和使用情况等。</w:t>
      </w:r>
    </w:p>
    <w:p w14:paraId="08F8F31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1.项目背景</w:t>
        <w:br/>
        <w:t>传统油价补贴政策虽缓解了行业成本压力，但存在“用油量挂钩”的粗放分配问题，未能精准支持农村客运和出租车行业的可持续发展。2022年财政部与交通运输部联合发布《关于调整农村客运、出租车油价补贴政策的通知》（财建〔2022〕1号），明确将农村客运油价补贴调整为农村客运补贴资金，出租车油价补贴调整为城市交通发展奖励资金，实现从“保运营”向“促转型”的转变。</w:t>
        <w:br/>
        <w:t>为加强和规范“十四五”时期农村客运补贴资金、城市交通发展奖励资金的管理,根据有关法律、行政法规和《财政部交通运输部关于调整农村客运、出租车油价补贴政策的通知》(财建〔2022〕1号)规定,结合新疆维吾尔自治区实际情况,新疆维吾尔自治区交通运输厅、自治区财政厅联合制定并下发《新疆维吾尔自治区农村客运补贴资金城市交通发展奖励资金管理办法》（新财规〔2023〕4号），明确了补助资金的部门职责、补助范围、补助标准、补助资金审核发放及监督管理。</w:t>
        <w:br/>
        <w:t>2.主要内容</w:t>
        <w:br/>
        <w:t>（1）项目名称：2023年农村客运补贴资金及城市交通发展奖励资金项目。</w:t>
        <w:br/>
        <w:t>（2）项目主要内容：根据《关于做好2023年度农村客运补贴资金和城市交通发：展奖励资金“一卡通”发放工作的通知》（新交运【2024】5号）《关于做好2023年度农村客运补贴资金和城市交通发展奖励资金相关发放工作的通知》（新交函【2024】298号）《关于调整下达2023年度农村客运补贴资金及城市交通发展奖励资金预算的通知》（伊州财建【2024】59号）文件精神，确保2023年度油价补贴资金精准、足额、及时发放到位，2023年度尼勒克县享受农村客运车辆补贴361辆车补助资金639.3万元；享受节能与新能源公交运营补贴12辆车，补助资金22万元;享受新能源出租车购置补贴51车，补助资金51万元。</w:t>
        <w:br/>
        <w:t>3.实施情况</w:t>
        <w:br/>
        <w:t>实施主体：尼勒克县交通运输局。</w:t>
        <w:br/>
        <w:t>实施时间：2024年1月—2024年12月。</w:t>
        <w:br/>
        <w:t>实施情况：一是根据自治区推送的数据在各公司公示，同时针对驾驶员反映的问题，逐一核查，针对存在的问题，逐一在联网联控和GPS系统核查，核实后驾驶员签字确认里程和座位数。二是积极与县财政对接，根据自治区交通运输厅、自治区财政厅联合下发的《关于做好2023年度农村客运补贴资金和城市交通发展奖励资金“一卡通”发放工作的通知》高度重视“一卡通”发放工作，收集从业人员信息，严格落实补贴资金发放要求，强化补贴资金发放监督指导。根据工作要求，将资金发放明细在政府公开门户网站进行公示，同时在客运站、各企业等人员密集场所对资金发放情况进行公示，建档成册，确保资金发放规范、及时。</w:t>
        <w:br/>
        <w:t>2023年度尼勒克县享受农村客运车辆补贴361辆车补助资金639.3万元；享受节能与新能源公交运营补贴12辆车，补助资金22万元;享受新能源出租车购置补贴51车，补助资金51万元。</w:t>
        <w:br/>
        <w:t>4.项目实施主体</w:t>
        <w:br/>
        <w:t>（1）主要职能</w:t>
        <w:br/>
        <w:t>尼勒克县交通运输市场管理工作，承担尼勒克县运输线路、营运车辆、枢纽及运输站场的管理工作，负责公共交通、出租汽车行业管理，负责车辆维修、营运车辆综合性能检测、搬运装卸、客货运输站场、运输服务行业管理，负责尼勒克县公路、水路、邮政等多种运输的衔接和协调，组织和实施城乡道路客运燃油消耗申报及油价补贴专项资金发放工作。</w:t>
        <w:br/>
        <w:t>（2）机构设置情况</w:t>
        <w:br/>
        <w:t>尼勒克县交通运输局下设5个处室，分别是：办公室、项目执行办公室、综合行政执法大队、农村公路养护中心、和客管办等四个科室。</w:t>
        <w:br/>
        <w:t>5.资金投入和使用情况</w:t>
        <w:br/>
        <w:t>（1）项目资金安排落实、总投入等情况分析</w:t>
        <w:br/>
        <w:t>本项目预算安排总额为712.3万元，资金来源为本级部门预算（中央专项资金），其中：财政资金712.3万元，其他资金0万元，2024年实际收到预算资金712.3万元，预算资金到位率为100%。</w:t>
        <w:br/>
        <w:t>（2）项目资金实际使用情况分析</w:t>
        <w:br/>
        <w:t>本项目实际支付资金712.3万元，预算执行率100%。本项目资金主要用于支付农村客运车辆补贴361辆车补助资金639.3万元；享受节能与新能源公交运营补贴12辆车，补助资金22万元;享受新能源出租车购置补贴51车，补助资金51万元。</w:t>
      </w:r>
    </w:p>
    <w:p w14:paraId="5191B688"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（二）项目绩效目标。包括总体目标和阶段性目标。</w:t>
      </w:r>
    </w:p>
    <w:p w14:paraId="5E1453B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1.项目绩效总目标</w:t>
        <w:br/>
        <w:t>2023年度农村客运补贴资金及城市交通发展奖励资金，尼勒克县补助车辆为300辆车，12辆公交车等。</w:t>
        <w:br/>
        <w:t>2.阶段性目标</w:t>
        <w:br/>
        <w:t>项目前期准备工作：一是根据自治区推送的数据在各公司公示，同时针对驾驶员反映的问题，逐一核查，针对存在的问题，逐一在联网联控和GPS系统核查，核实后驾驶员签字确认里程和座位数。</w:t>
        <w:br/>
        <w:t>二是积极与县财政对接，根据自治区交通运输厅、自治区财政厅联合下发的《关于做好2023年度农村客运补贴资金和城市交通发展奖励资金“一卡通”发放工作的通知》高度重视“一卡通”发放工作，收集从业人员信息，严格落实补贴资金发放要求，强化补贴资金发放监督指导。</w:t>
        <w:br/>
        <w:t>项目实施：根据工作要求，将资金发放明细在政府公开门户网站进行公示，同时在客运站、各企业等人员密集场所对资金发放情况进行公示，建档成册，确保资金发放规范、及时。</w:t>
        <w:br/>
        <w:t>项目完成：我单位在2024年9月15日之前已经将补贴资金，分批次按时发放到位，将资金通过“一卡通”全部打入驾驶员个人账户。2023年度农村客运补贴资金和城市交通发展奖励资金已经全部发放完毕。资金主要用于支付农村客运车辆补贴361辆车补助资金639.3万元；享受节能与新能源公交运营补贴12辆车，补助资金22万元;享受新能源出租车购置补贴51车，补助资金51万元。</w:t>
        <w:br/>
        <w:t>根据《中华人民共和国预算法》、《财政支出绩效评价管理暂行办法》（财预〔2020〕10号）、《中共中央国务院关于全面实施预算绩效管理的意见》（中发〔2018〕34号）、《自治区党委自治区人民政府关于全面实施预算绩效管理的实施意见》（新党发〔2018〕30号）、《自治区财政支出绩效评价管理暂行办法》（新财预〔2018〕189号）的规定，结合我单位的规章制度以及项目实施和财务相关资料，评价小组对项目绩效指标进行了进一步的完善，完善后绩效指标如下：</w:t>
        <w:br/>
        <w:t>（1）项目产出指标</w:t>
        <w:br/>
        <w:t>①数量指标</w:t>
        <w:br/>
        <w:t>“补助客运车辆数”指标，预期指标值为“大于等于300辆”；</w:t>
        <w:br/>
        <w:t>“补助公交车数”指标，预期指标值为“大于等于12辆”。</w:t>
        <w:br/>
        <w:t>②质量指标</w:t>
        <w:br/>
        <w:t>“申请运营补助车辆合规率”指标，预期指标值为“大于等于95%”；</w:t>
        <w:br/>
        <w:t>“补助发放准确率”指标，预期指标值为“大于等于95%”。</w:t>
        <w:br/>
        <w:t>③时效指标</w:t>
        <w:br/>
        <w:t>“补助发放时限”指标，预期指标值为“小于12个月”；</w:t>
        <w:br/>
        <w:t>（2）项目成本指标指标</w:t>
        <w:br/>
        <w:t>①经济成本指标</w:t>
        <w:br/>
        <w:t>无此类指标</w:t>
        <w:br/>
        <w:t>②社会成本指标</w:t>
        <w:br/>
        <w:t>无此类指标</w:t>
        <w:br/>
        <w:t>③生态环境成本指标</w:t>
        <w:br/>
        <w:t>无此类指标</w:t>
        <w:br/>
        <w:t>（3）项目效益指标</w:t>
        <w:br/>
        <w:t>①经济效益指标</w:t>
        <w:br/>
        <w:t>“提升公众出行服务水平”指标，预期指标值为“有效提升”。</w:t>
        <w:br/>
        <w:t>②社会效益指标</w:t>
        <w:br/>
        <w:t>无此类指标</w:t>
        <w:br/>
        <w:t>③生态效益指标</w:t>
        <w:br/>
        <w:t>无此类指标</w:t>
        <w:br/>
        <w:t>（4）项目满意度指标</w:t>
        <w:br/>
        <w:t>①满意度指标</w:t>
        <w:br/>
        <w:t>“受益对象满意度”指标，预期指标值为“大于等于90%”。</w:t>
      </w:r>
    </w:p>
    <w:p w14:paraId="4CDBE12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二、</w:t>
      </w:r>
      <w:r>
        <w:rPr>
          <w:rStyle w:val="ad"/>
          <w:rFonts w:hint="eastAsia"/>
          <w:spacing w:val="-4"/>
          <w:sz w:val="32"/>
          <w:szCs w:val="32"/>
        </w:rPr>
        <w:t>绩效评价工作开展情况</w:t>
      </w:r>
    </w:p>
    <w:p w14:paraId="2A58866E"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（一）绩效评价目的、对象和范围。</w:t>
      </w:r>
    </w:p>
    <w:p w14:paraId="212A02D4"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1.绩效评价的目的</w:t>
        <w:br/>
        <w:t>为全面实施预算绩效管理，建立科学、合理的项目支出绩效评价管理体系，提高财政资源配置效率和使用效益，根据财政部印发《项目支出绩效评价管理办法》（财预〔2020〕10号）、《关于印发〈中央部门项目支出核心绩效目标和指标设置及取值指引（试行）〉的通知》（财预〔2021〕101号）、《关于印发〈自治区项目支出绩效目标设置指引〉的通知》（新财预〔2022〕42号）、《自治区财政支出绩效评价管理暂行办法》（新财预〔2018〕189号）文件精神，开展本次部门项目支出绩效评价工作。通过绩效评价，促进本单位总结经验、发现问题、改进工作，旨在评价本项目前期审批、实施过程及实施效果，促进预算管理不断完善，加快绩效目标的实现，保证财政资金有效、合理使用，具体绩效评价的目的细分如下：</w:t>
        <w:br/>
        <w:t>一是通过部门项目支出绩效评价，进一步严格落实《中华人民共和国预算法》以及党中央、国务院关于加强预算绩效管理的指示精神，建立健全“花钱必问效、无效必问责”的绩效预算管理机制、提升财政资金的使用效能。</w:t>
        <w:br/>
        <w:t>二是通过部门项目支出绩效评价，进一步完善绩效目标，根据项目绩效目标设立情况，细化形成多维度绩效指标，将绩效指标细化为数量指标、质量指标、时效指标、成本指标、经济效益指标、社会效益指标、可持续影响指标、服务对象满意度指标等内容，保证项目绩效指标设置科学、规范、合理、可衡量。</w:t>
        <w:br/>
        <w:t>三是通过部门项目支出绩效评价，进一步纠正对绩效管理理解上的偏差，建立更加全面科学的绩效指标体系，督促在预算编制中，将资金申请、绩效目标和具体指标统筹考虑，形成“花钱问效”的责任契约机制，进一步强化预算绩效管理的严肃性和约束力，推动绩效管理向全方位的绩效预算转变，逐步建立“以绩效目标为导向，以绩效评价为手段，以评价结果应用为保障，全方位、全覆盖、全过程”的绩效预算管理新体制。</w:t>
        <w:br/>
        <w:t>四是通过部门项目支出绩效评价，从绩效的角度发现本项目在决策、实施和管理过程中存在的问题，寻求解决方案，为进一步深化项目管理工作提供依据，促进项目进一步的推进和后期项目维护和评价工作提供更深一步的理论和实际支持。</w:t>
        <w:br/>
        <w:t>2.绩效评价对象</w:t>
        <w:br/>
        <w:t>此次我单位根据《财政支出绩效评价管理暂行办法》（财预〔2020〕10号）文件要求实施评价工作，本次评价对象为2023年农村客运补贴资金及城市交通发展奖励资金项目，评价核心为项目资金、项目产出、项目效益。</w:t>
        <w:br/>
        <w:t>3.绩效评价范围</w:t>
        <w:br/>
        <w:t>本次评价范围涵盖项目总体绩效目标、各项绩效指标完成情况以及预算执行情况。覆盖项目预算资金支出的所有内容进行评价。包括项目决策、项目实施和项目成果验收流程等。</w:t>
      </w:r>
    </w:p>
    <w:p w14:paraId="63BB42D3"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（二）绩效评价原则、评价指标体系（附表说明）、评价方法、评价标准等。</w:t>
      </w:r>
    </w:p>
    <w:p w14:paraId="21FF8141"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1.绩效评价原则</w:t>
        <w:br/>
        <w:t>依据《中华人民共和国预算法》《中共中央国务院关于全面实施预算绩效管理的意见》（中发〔2018〕34号）、《项目支出绩效评价管理办法》（财预〔2020〕10号）、《自治区党委自治区人民政府关于全面实施预算绩效管理的实施意见》（新党发〔2018〕30号）、《自治区财政支出绩效评价管理暂行办法》（新财预〔2018〕189号）等要求，绩效评价应遵循如下原则：</w:t>
        <w:br/>
        <w:t>（1）科学公正。绩效评价应当运用科学合理的方法，按照规范的程序，对项目绩效进行客观、公正的反映。</w:t>
        <w:br/>
        <w:t>（2）统筹兼顾。单位自评、部门评价和财政评价应职责明确，各有侧重，相互衔接。单位自评应由项目单位自主实施，即“谁支出、谁自评”。部门评价和财政评价应在单位自评的基础上开展，必要时可委托第三方机构实施。</w:t>
        <w:br/>
        <w:t>（3）激励约束。绩效评价结果应与预算安排、政策调整、改进管理实质性挂钩，体现奖优罚劣和激励相容导向，有效要安排、低效要压减、无效要问责。</w:t>
        <w:br/>
        <w:t>（4）公开透明。绩效评价结果应依法依规公开，并自觉接受社会监督。</w:t>
        <w:br/>
        <w:t>根据以上原则，绩效评价应遵循如下要求:</w:t>
        <w:br/>
        <w:t>（1）在数据采集时，采取客观数据，主管部门审查、社会中介组织复查，与问卷调查相结合的形式，以保证各项指标的真实性。</w:t>
        <w:br/>
        <w:t>（2）保证评价结果的真实性、公正性，提高评价报告的公信力。</w:t>
        <w:br/>
        <w:t>（3）绩效评价报告应当简明扼要，除了对绩效评价的过程、结果描述外，还应总结经验，指出问题，并就共性问题提出可操作性改进建议。评价工作组本着科学规范、公平公正、绩效相关的原则，采用全面、重点、现场和非现场相结合的方式进行评价。</w:t>
        <w:br/>
        <w:t>2.绩效评价指标体系</w:t>
        <w:br/>
        <w:t>我单位通过实施资料研读及前期调研，结合项目的实际开展情况，按照《项目支出绩效评价管理办法》（财预〔2020〕10号）文件要求，结合项目特点，经与专家组充分协商，设置指标体系结构如下：设置一级指标共4个，包括：决策指标（21.00%）、过程指标（19.00%）、产出指标（38.00%）、效益指标（22.00%）四类指标。主要围绕资金使用、项目管理、资源配置等方面，客观分析项目的产出和效果，从而考察项目预算定额标准的合理性，进而提出完善意见。整个评价框架构成体现从投入、过程到产出、效果和影响的绩效逻辑路径。详细指标体系见“附件1:2023年农村客运补贴资金及城市交通发展奖励资金项目支出绩效评价指标体系”。</w:t>
        <w:br/>
        <w:t>3.评价方法	</w:t>
        <w:br/>
        <w:t>绩效评价方法主要包括成本效益分析法、比较法、因素分析法、最低成本法、公众评判法、标杆管理法等。我单位根据本项目资金的性质和特点，选用因素分析法对项目进行评价，旨在通过综合分析影响绩效目标实现、实施效果的内外部因素，从而评价本项目绩效。</w:t>
        <w:br/>
        <w:t>三级指标分析环节：总体采用比较法，同时辅以文献法、成本效益法、因素分析法以及公众评判法，根据不同三级指标类型进行逐项分析。</w:t>
        <w:br/>
        <w:t>①定量指标分析环节：主要采用对比三级指标预期指标值和三级指标截止评价日的完成情况，综合分析绩效目标实现程度。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②定性指标分析环节：主要采用公众评判法，通过问卷及抽样调查等方式评价本项目实施后社会公众对于其实施效果的满意程度，将调研结果按照《项目支出绩效评价管理办法》（财预〔2020〕10号）文件要求分为达成年度指标、部分达成年度指标并具有一定效果、未达成年度指标且效果较差三档，分别按照该指标对应分值区间100.00%-80.00%（含）、80.00%-60.00%（含）、60.00%-0.00%合理确定分值，详细评价方法的应用如下:</w:t>
        <w:br/>
        <w:t>立项依据充分性：比较法、文献法，查找法律法规政策以及规划，对比实际执行内容和政策支持内容是否匹配。</w:t>
        <w:br/>
        <w:t>立项程序规范性：比较法、文献法，查找相关项目设立的政策和文件要求，对比分析实际执行程序是否按照政策及文件要求执行，分析立项程序的规范性。</w:t>
        <w:br/>
        <w:t>绩效目标合理性：比较法，对比分析年初编制项目支出绩效目标表与项目内容的相关性、资金的匹配性等。</w:t>
        <w:br/>
        <w:t>绩效指标明确性：比较法，比较分析年初编制项目支出绩效目标表是否符合双七原则，是否可衡量。</w:t>
        <w:br/>
        <w:t>预算编制科学性：成本效益分析法	分析在产出一定的情况下，成本取值是否有依据，是否经过询价，是否按照市场最低成本编制。</w:t>
        <w:br/>
        <w:t>资金分配合理性：因素分析法，综合分析资金的分配依据是否充分，分配金额是否与项目实施单位需求金额一致，</w:t>
        <w:br/>
        <w:t>资金到位率：比较法，资金到位率预期指标值应为100.00%，通过实际计算，分析实际完成值和预期指标值之间的差距和原因。</w:t>
        <w:br/>
        <w:t>预算执行率：比较法，预算执行率预期指标值应为100.00%，通过实际计算，分析实际完成值和预期指标值之间的差距和原因。</w:t>
        <w:br/>
        <w:t>资金使用合规性：文献法、实地勘察法，一是查找资金管理办法，包括专项资金管理办法和单位自有资金管理办法；二是通过查账了解具体开支情况，是否专款专用，是否按照标准支出。</w:t>
        <w:br/>
        <w:t>管理制度健全性：文献法、比较法，查阅项目实施人员提供的财务和业务管理制度，将已建立的制度与现行的法律法规和政策要求进行对比，分析项目制度的合法性、合规性、完整性。</w:t>
        <w:br/>
        <w:t>制度执行有效性：比较法，结合项目实际实施过程性文件，根据已建设的财务管理制度和项目管理制度综合分析制度执行的有效性。</w:t>
        <w:br/>
        <w:t>定量指标：比较法，将实际完成值与年初指标值相比，完成指标值该指标赋全部分值；对完成值高于指标值较多的，要分析原因，如果是由于年初指标值设定明显偏低造成的，要按照偏离度适度调减分值；未完成指标值的，按照完成值与指标值的比例计分。</w:t>
        <w:br/>
        <w:t>定性指标：公众评判法，通过问卷及抽样调查等方式评价本项目实施后社会公众对于其实施效果的满意程度。</w:t>
        <w:br/>
        <w:t>4.评价标准</w:t>
        <w:br/>
        <w:t>本次绩效评价采用计划标准，以预先制定的目标、计划、预算、定额等作为评价标准，对比分析项目产出、效益的完成情况。定量指标：通过公式等方式予以量化，可以准确衡量，并设定目标值的考核指标；定性指标：通过问卷调查及访谈方式，采集相关数据，运用等级描述法，设置分级标准，体现该指标认可程度的差异。</w:t>
      </w:r>
    </w:p>
    <w:p w14:paraId="620E63F7" w14:textId="77777777" w:rsidR="00B30C15" w:rsidRDefault="00DB6A4D">
      <w:pPr>
        <w:spacing w:line="540" w:lineRule="exact"/>
        <w:ind w:firstLineChars="181" w:firstLine="567"/>
        <w:rPr>
          <w:rStyle w:val="ad"/>
          <w:rFonts w:ascii="楷体" w:eastAsia="楷体" w:hAnsi="楷体"/>
          <w:spacing w:val="-4"/>
          <w:sz w:val="32"/>
          <w:szCs w:val="32"/>
        </w:rPr>
      </w:pPr>
      <w:r>
        <w:rPr>
          <w:rStyle w:val="ad"/>
          <w:rFonts w:ascii="楷体" w:eastAsia="楷体" w:hAnsi="楷体" w:hint="eastAsia"/>
          <w:spacing w:val="-4"/>
          <w:sz w:val="32"/>
          <w:szCs w:val="32"/>
        </w:rPr>
        <w:t>（三）绩效评价工作过程。</w:t>
      </w:r>
    </w:p>
    <w:p w14:paraId="5D1DF44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1.前期准备</w:t>
        <w:br/>
        <w:t>我单位于2025年3月1日，确定绩效评价工作小组，正式开始前期准备工作，通过对评价对象前期调研，确定了评价的目的、方法以及评价的原则，根据项目的内容和特征制定了评价指标体系及评价标准。绩效评价工作小组人员名单及分工如下：</w:t>
        <w:br/>
        <w:t>杨新富（评价小组组长）：主要负责确定绩效评价模板、总体协调沟通、全盘统筹、总体质量把关等工作;</w:t>
        <w:br/>
        <w:t>苏干（评价小组组员）：主要负责绩效评价现场督导，对评价组成员的评价检查工作提供技术指导与支持，对绩效评价工作质量把关;</w:t>
        <w:br/>
        <w:t>米克古力（评价小组组员）：主要负责现场调研工作，完成收集整理资料、审核数据、填报绩效评价内容等工作。</w:t>
        <w:br/>
        <w:t>2.组织实施</w:t>
        <w:br/>
        <w:t>2025年3月2日-3月10日，评价工作进入实施阶段。在数据采集方面，评价小组整理单位前期提交的资料，与项目实施负责人沟通，了解资金的内容、操作流程、管理机制、资金使用方向等情况并采集信息，了解项目设置背景及资金使用等情况。</w:t>
        <w:br/>
        <w:t>3.分析评价	</w:t>
        <w:br/>
        <w:t>2025年3月11日-3月15日，评价小组按照绩效评价的原则和规范，对取得的资料进行审查核实，对采集的数据进行分析，按照绩效评价指标评分表逐项进行打分、分析、汇总各方评价结果。　</w:t>
        <w:br/>
        <w:t>4.撰写与提交评价报告</w:t>
        <w:br/>
        <w:t>2025年3月16日-3月31日，评价小组撰写绩效评价报告，按照新疆维吾尔自治区财政绩效管理信息系统绩效评价模块中统一格式和文本框架撰写绩效评价报告并提交审核。</w:t>
        <w:br/>
        <w:t>5.问题整改</w:t>
        <w:br/>
        <w:t>经审核通过后，由评价小组将报告推送至项目实施人员，由项目实施人员根据报告评价结论、存在的问题以及改进建议落实问题整改，并形成整改报告，由评价小组负责监督和核查整改落实情况，确保绩效评价落到实处。</w:t>
        <w:br/>
        <w:t>6.档案整理</w:t>
        <w:br/>
        <w:t>建立和落实档案管理制度，将项目相关资料存档，包括但不限于：评价项目基本情况和相关文件、评价实施方案、项目支付资料等相关档案。</w:t>
      </w:r>
    </w:p>
    <w:p w14:paraId="6130A001" w14:textId="77777777" w:rsidR="00B30C15" w:rsidRDefault="00DB6A4D">
      <w:pPr>
        <w:spacing w:line="540" w:lineRule="exact"/>
        <w:ind w:firstLine="640"/>
        <w:rPr>
          <w:rStyle w:val="ad"/>
          <w:rFonts w:ascii="黑体" w:eastAsia="黑体" w:hAnsi="黑体"/>
          <w:b w:val="0"/>
          <w:spacing w:val="-4"/>
          <w:sz w:val="32"/>
          <w:szCs w:val="32"/>
        </w:rPr>
      </w:pPr>
      <w:r>
        <w:rPr>
          <w:rStyle w:val="ad"/>
          <w:rFonts w:ascii="黑体" w:eastAsia="黑体" w:hAnsi="黑体" w:hint="eastAsia"/>
          <w:b w:val="0"/>
          <w:spacing w:val="-4"/>
          <w:sz w:val="32"/>
          <w:szCs w:val="32"/>
        </w:rPr>
        <w:t>三、</w:t>
      </w:r>
      <w:r>
        <w:rPr>
          <w:rStyle w:val="ad"/>
          <w:rFonts w:hint="eastAsia"/>
          <w:spacing w:val="-4"/>
          <w:sz w:val="32"/>
          <w:szCs w:val="32"/>
        </w:rPr>
        <w:t>综合评价情况及评价结论</w:t>
      </w:r>
    </w:p>
    <w:p w14:paraId="21773542"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（一）综合评价情况</w:t>
        <w:br/>
        <w:t>本级绩效评价遵循科学规范、公开公正、绩效相关和问题导向的原则、重点评价项目的资金投入与财务管理、组织管理、产出与效益效果。在此基础上，以相关的项目数据为基础，综合运用不同的评价方法，结合评价标准和评分规则，项目综合得分为100分，评价结果为优。本项目较大程度达成年初设立的绩效目标，在实施过程中取得了良好的成效，具体表现在以下三方面：</w:t>
        <w:br/>
        <w:t>一是根据自治区推送的数据在各公司公示，同时针对驾驶员反映的问题，逐一核查，针对存在的问题，逐一在联网联控和GPS系统核查，核实后驾驶员签字确认里程和座位数。</w:t>
        <w:br/>
        <w:t>二是积极与县财政对接，根据自治区交通运输厅、自治区财政厅联合下发的《关于做好2023年度农村客运补贴资金和城市交通发展奖励资金“一卡通”发放工作的通知》高度重视“一卡通”发放工作，收集从业人员信息，严格落实补贴资金发放要求，强化补贴资金发放监督指导。</w:t>
        <w:br/>
        <w:t>三是根据工作要求，将资金发放明细在政府公开门户网站进行公示，同时在客运站、各企业等人员密集场所对资金发放情况进行公示，建档成册，确保资金发放规范、及时。</w:t>
        <w:br/>
        <w:t>（二）评价结论</w:t>
        <w:br/>
        <w:t>依据《中共中央国务院关于全面实施预算绩效管理的意见》《项目支出绩效评价管理办法》（财预〔2020〕10号）文件，绩效评价总分设置为100分，划分为四档：90（含）-100分为“优”、80（含）-90分为“良”、70（含）-80分为“中”、70分以下为“差”。</w:t>
        <w:br/>
        <w:t>本项目年初预算资金总额为712.3万元，全年预算数为712.3万元，全年执行数为712.3万元，预算执行率为100%。</w:t>
        <w:br/>
        <w:t>2023年农村客运补贴资金及城市交通发展奖励项目支出绩效评价指标体系总体完成率为100%，项目预算执行率与2023年农村客运补贴资金及城市交通发展奖励项目支出绩效评价指标体系总体完成率之间的偏差为0%。</w:t>
        <w:br/>
        <w:t>经评价分析，项目总体实施情况较好，项目综合得分为100分，评价结果为优。实际已完成发放农村客运车辆补贴361辆车补助资金639.3万元；享受节能与新能源公交运营补贴12辆车，补助资金22万元;享受新能源出租车购置补贴51车，补助资金51万元。</w:t>
        <w:br/>
        <w:t>（三）相关评分表</w:t>
        <w:br/>
        <w:t>此次绩效评价通过绩效评价小组论证的评价指标体系及评分标准，采用比较法、公众评判法、因素分析法等对该项目绩效进行客观评价，本项目共设置三级指标数量18个，实现三级指标数量18个，总体完成率为100.00%。综合评价结论如下：</w:t>
        <w:br/>
        <w:t>项目决策类指标共设置6个，满分指标6个，得分率100.00%；</w:t>
        <w:br/>
        <w:t>过程管理类指标共设置5个，满分指标5个，得分率100.00%；</w:t>
        <w:br/>
        <w:t>项目产出类指标共设置5个，满分指标5个，得分率100.00%；</w:t>
        <w:br/>
        <w:t>项目效益类指标共设置2个，满分指标2个，得分率100.00%。</w:t>
      </w:r>
    </w:p>
    <w:p w14:paraId="7542F838" w14:textId="77777777" w:rsidR="00B30C15" w:rsidRDefault="00DB6A4D">
      <w:pPr>
        <w:spacing w:line="540" w:lineRule="exact"/>
        <w:ind w:firstLine="640"/>
        <w:rPr>
          <w:rStyle w:val="ad"/>
          <w:rFonts w:ascii="黑体" w:eastAsia="黑体" w:hAnsi="黑体"/>
        </w:rPr>
      </w:pPr>
      <w:r>
        <w:rPr>
          <w:rStyle w:val="ad"/>
          <w:rFonts w:ascii="黑体" w:eastAsia="黑体" w:hAnsi="黑体" w:hint="eastAsia"/>
          <w:b w:val="0"/>
          <w:spacing w:val="-4"/>
          <w:sz w:val="32"/>
          <w:szCs w:val="32"/>
        </w:rPr>
        <w:t>四、</w:t>
      </w:r>
      <w:r>
        <w:rPr>
          <w:rStyle w:val="ad"/>
          <w:rFonts w:hint="eastAsia"/>
          <w:spacing w:val="-4"/>
          <w:sz w:val="32"/>
          <w:szCs w:val="32"/>
        </w:rPr>
        <w:t>绩效评价指标分析</w:t>
      </w:r>
      <w:r>
        <w:rPr>
          <w:rStyle w:val="ad"/>
          <w:rFonts w:ascii="黑体" w:eastAsia="黑体" w:hAnsi="黑体" w:hint="eastAsia"/>
          <w:b w:val="0"/>
          <w:spacing w:val="-4"/>
          <w:sz w:val="32"/>
          <w:szCs w:val="32"/>
        </w:rPr>
        <w:t xml:space="preserve"> </w:t>
      </w:r>
    </w:p>
    <w:p w14:paraId="253974FB"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（一）项目决策情况。</w:t>
      </w:r>
    </w:p>
    <w:p w14:paraId="284985BF"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项目决策类指标由3个二级指标和6个三级指标构成，权重分21分，实际得分21分。</w:t>
        <w:br/>
        <w:t>1.项目立项情况分析</w:t>
        <w:br/>
        <w:t>（1）立项依据充分性</w:t>
        <w:br/>
        <w:t>本项目立项符合《关于做好2023年度农村客运补贴资金和城市交通发展奖励资金“一卡通”发放工作的通知》（新交运【2024】5号）《关于做好2023年度农村客运补贴资金和城市交通发展奖励资金相关发放工作的通知》（新交函【2024】298号）《关于调整下达2023年度农村客运补贴资金及城市交通发展奖励资金预算的通知》（伊州财建【2024】59号）文件精神，符合行业发展规划和政策要求；</w:t>
        <w:br/>
        <w:t>本项目立项符合《尼勒克县交通运输局单位配置内设机构和人员编制规定》中职责范围中的“组织和实施城乡道路客运燃油消耗申报及油价补贴专项资金发放工作。”属于我单位履职所需；</w:t>
        <w:br/>
        <w:t>根据《财政资金直接支付申请书》，本项目资金性质为“公共财政预算”功能分类为“2149901”经济分类为“50701”属于费用补贴，符合中央、地方事权支出责任划分原则；</w:t>
        <w:br/>
        <w:t>经检查我单位财政应用平台指标，本项目不存在重复。</w:t>
        <w:br/>
        <w:t>综上所述，本指标满分为5分，根据评分标准得5分，本项目立项依据充分。</w:t>
        <w:br/>
        <w:t>（2）立项程序规范性</w:t>
        <w:br/>
        <w:t>本项目为非基础建设类项目，不涉及发改立项批复流程，由我单位自行编制项目实施方案和项目预算申请计划，经过与党委会研究确定最终预算方案。经查看，该项目申请设立过程产生的相关文件，符合相关要求。本项目为非基础建设类项目，属于专项资金安排项目，不涉及事前绩效评估、可行性研究以及风险评估，由我单位严格按照《关于做好2023年度农村客运补贴资金和城市交通发展奖励资金“一卡通”发放工作的通知》（新交运【2024】5号）《关于做好2023年度农村客运补贴资金和城市交通发展奖励资金相关发放工作的通知》（新交函【2024】298号）《关于调整下达2023年度农村客运补贴资金及城市交通发展奖励资金预算的通知》（伊州财建【2024】59号）要求实施项目。</w:t>
        <w:br/>
        <w:t>综上所述，本指标满分为3分，根据评分标准得3分，本项目立项程序规范。</w:t>
        <w:br/>
        <w:t>2.绩效目标情况分析</w:t>
        <w:br/>
        <w:t>（1）绩效目标合理性</w:t>
        <w:br/>
        <w:t>本项目已设置年度绩效目标，具体内容为“2023年度农村客运补贴资金及城市交通发展奖励资金，尼勒克县补助车辆为300辆车，12辆公交车等。”；本项目实际工作内容为：截止2024年12月31日，本项目实际已完成发放农村客运车辆补贴361辆车补助资金639.3万元；享受节能与新能源公交运营补贴12辆车，补助资金22万元;享受新能源出租车购置补贴51车，补助资金51万元。通过实施该项目，提升了公众出行服务水平。绩效目标与实际工作内容一致，两者具有相关性;本项目按照绩效目标完成了数量指标、质量指标、时效指标、成本指标，提升了公众出行服务水平。年度绩效目标完成，预期产出效益和效果符合正常的业绩水平。</w:t>
        <w:br/>
        <w:t>综上所述，本指标满分为4分，根据评分标准得4分，本项目绩效目标设置合理。</w:t>
        <w:br/>
        <w:t>（2）绩效指标明确性</w:t>
        <w:br/>
        <w:t>经检查我单位年初设置的《项目支出绩效目标表》，得出如下结论：本项目已将年度绩效目标进行细化为绩效指标体系，共设置一级指标3个，二级指标5个，三级指标7个，定量指标6个，定性指标1个，指标量化率为85.71%，量化率达70.00%以上。</w:t>
        <w:br/>
        <w:t>综上所述，本指标满分为3分，根据评分标准得3分，本项目所设置绩效指标明确。</w:t>
        <w:br/>
        <w:t>3.资金投入情况分析</w:t>
        <w:br/>
        <w:t>（1）预算编制科学性</w:t>
        <w:br/>
        <w:t>本项目预算编制根据根据自治区推送的数据在各公司公示，同时针对驾驶员反映的问题，逐一核查，针对存在的问题，逐一在联网联控和GPS系统核查，核实后驾驶员签字确认里程和座位数。积极与县财政对接，根据自治区交通运输厅、自治区财政厅联合下发的《关于做好2023年度农村客运补贴资金和城市交通发展奖励资金“一卡通”发放工作的通知》高度重视“一卡通”发放工作，收集从业人员信息，严格落实补贴资金发放要求编制预算，即预算编制较科学且经过论证；</w:t>
        <w:br/>
        <w:t>预算申请内容为2023年农村客运补贴资金及城市交通发展奖励资金项目，项目实际内容为2023年农村客运补贴资金及城市交通发展奖励资金项目，预算申请与《2023年农村客运补贴资金及城市交通发展奖励资金项目实施方案》中涉及的项目内容匹配；</w:t>
        <w:br/>
        <w:t>本项目预算申请资金712.3万元，我单位在预算申请中严格按照单位标准和数量进行核算，其中：补助客运车辆数300辆，补助公交车数12辆，预算金额712.3万元。本项目预算额度测算依据充分，严格按照标准编制，预算确定资金量与实际工作任务相匹配；</w:t>
        <w:br/>
        <w:t>综上所述，本指标满分为4分，根据评分标准4分，本项目预算编制科学。</w:t>
        <w:br/>
        <w:t>（2）资金分配合理性</w:t>
        <w:br/>
        <w:t>本项目实际分配资金以《关于尼勒克县2023年度农村客运补贴资金及城市交通发展奖励资金的请示》和《关于尼勒克县2023年度农村客运补贴资金及城市交通发展奖励资金项目实施方案》为依据进行资金分配，预算资金分配依据充分。根据《关于调整下达2023年度农村客运补贴资金及城市交通发展奖励资金预算的通知》（伊州财建【2024】59号）》文件显示，本项目实际到位资金712.3万元，实际分配资金与我单位提交申请的资金额度一致，资金分配额度合理，与我单位实际需求相适应。</w:t>
        <w:br/>
        <w:t>综上所述，本指标满分为2分，根据评分标准得2分，本项目资金分配合理。</w:t>
      </w:r>
    </w:p>
    <w:p w14:paraId="279CAB95"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（二）项目过程情况。</w:t>
      </w:r>
    </w:p>
    <w:p w14:paraId="406F39A3"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项目过程管理类指标由2个二级指标和5个三级指标构成，权重分19分，实际得分19分。</w:t>
        <w:br/>
        <w:t>1.资金管理情况分析</w:t>
        <w:br/>
        <w:t>（1）资金到位率</w:t>
        <w:br/>
        <w:t>本项目预算资金为712.3万元，其中：本级财政安排资金712.3万元，其他资金0万元，实际到位资金712.3万元，资金到位率=（实际到位资金/预算资金）×100.00%=（712.3/712.3）*100.00%=100.00%。得分=资金到位率*分值=100.00%*3=3.00分。</w:t>
        <w:br/>
        <w:t>综上所述，本指标满分为43分，根据评分标准得3分。</w:t>
        <w:br/>
        <w:t>（2）预算执行率</w:t>
        <w:br/>
        <w:t>本项目实际支出资金712.3万元，预算执行率=（实际支出资金/实际到位资金）×100.00%=（712.3/712.3）*100.00%=100%。得分=预算执行率*分值=100%*5=5分。</w:t>
        <w:br/>
        <w:t>综上所述，本指标满分为5分，根据评分标准得5分。</w:t>
        <w:br/>
        <w:t>（3）资金使用合规性</w:t>
        <w:br/>
        <w:t>通过检查本项目签订的合同、资金申请文件、发票等财务付款凭证，得出本项目资金支出符合国家财经法规、《政府会计制度》以及《尼勒克县交通运输局资金管理办法》《尼勒克县交通运输局财务管理制度》，资金的拨付有完整的审批程序和手续，资金实际使用方向与预算批复用途一致，不存在截留、挤占、挪用、虚列支出的情况。</w:t>
        <w:br/>
        <w:t>综上所述，本指标满分为5分，根据评分标准得5分，资金支出符合我单位财务管理制度规定。</w:t>
        <w:br/>
        <w:t>2.组织实施情况分析</w:t>
        <w:br/>
        <w:t>（1）管理制度健全性</w:t>
        <w:br/>
        <w:t>我单位已制定《尼勒克县交通运输局资金管理办法》《尼勒克县交通运输局财务管理制度》《尼勒克县交通运输局收支管理制度》，上述已建立的制度均符合行政事业单位内控管理要求，财务和业务管理制度合法、合规、完整，本项目执行符合上述制度规定。</w:t>
        <w:br/>
        <w:t>综上所述，本指标满分为2分，根据评分标准得2分，项目制度建设健全。</w:t>
        <w:br/>
        <w:t>（2）制度执行有效性</w:t>
        <w:br/>
        <w:t>经对比分析本项目实际执行过程资料和已建立的项目管理制度和财务管理制度，得出本项目严格按照本单位已建立制度执行。项目资金支出严格按照自治区、地区、市以及本单位资金管理办法执行，项目启动实施后，为了加快本项目的实施，成立了单位项目工作领导小组，由杨启元任组长，负责项目的组织工作；努尔任副组长，负责项目的实施工作；组员包括：张黎和努尔波，主要负责项目监督管理、验收以及资金核拨等工作。</w:t>
        <w:br/>
        <w:t>综上所述，本指标满分为4分，根据评分标准得4分，本项目所建立制度执行有效。</w:t>
      </w:r>
    </w:p>
    <w:p w14:paraId="0602F923"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（三）项目产出情况。</w:t>
      </w:r>
    </w:p>
    <w:p w14:paraId="3B1C5BC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项目产出类指标由3个二级指标和5个三级指标构成，权重分38分，实际得分38分，得分率为100%。</w:t>
        <w:br/>
        <w:t>1.数量指标完成情况分析	</w:t>
        <w:br/>
        <w:t>“补助客运车辆数”指标：预期指标值为“大于等于300辆”，实际完成指标值为“300辆”，指标完成率为100%。</w:t>
        <w:br/>
        <w:t>综上所述，本指标满分为8分，根据评分标准得8分。</w:t>
        <w:br/>
        <w:t>“补助公交车数”指标：预期指标值为“大于等于12辆”，实际完成指标值为“12辆”，指标完成率为100%。</w:t>
        <w:br/>
        <w:t>综上所述，本指标满分为6分，根据评分标准得6分。</w:t>
        <w:br/>
        <w:t>2.质量指标完成情况分析</w:t>
        <w:br/>
        <w:t>“申请运营补助车辆合规率”指标：预期指标值为“大于等于95%”，实际完成指标值为“95%”，指标完成率为100%。</w:t>
        <w:br/>
        <w:t>综上所述，本指标满分为8分，根据评分标准得8分。</w:t>
        <w:br/>
        <w:t>“补助发放准确率”指标：预期指标值为“大于等于95%”，实际完成指标值为“95%”，指标完成率为100%。</w:t>
        <w:br/>
        <w:t>综上所述，本指标满分为8分，根据评分标准得8分。</w:t>
        <w:br/>
        <w:t>3.时效指标完成情况分析</w:t>
        <w:br/>
        <w:t>“补助发放时限”指标：预期指标值为“小于等于12个月”，实际完成指标值为“12个月”，指标完成率为100%。</w:t>
        <w:br/>
        <w:t>综上所述，本指标满分为8分，根据评分标准得8分。</w:t>
      </w:r>
    </w:p>
    <w:p w14:paraId="49FAA821" w14:textId="77777777" w:rsidR="00B30C15" w:rsidRDefault="00DB6A4D">
      <w:pPr>
        <w:spacing w:line="540" w:lineRule="exact"/>
        <w:ind w:firstLineChars="181" w:firstLine="567"/>
        <w:rPr>
          <w:rFonts w:ascii="楷体" w:eastAsia="楷体" w:hAnsi="楷体"/>
          <w:b/>
          <w:spacing w:val="-4"/>
          <w:sz w:val="32"/>
          <w:szCs w:val="32"/>
        </w:rPr>
      </w:pPr>
      <w:r>
        <w:rPr>
          <w:rFonts w:ascii="楷体" w:eastAsia="楷体" w:hAnsi="楷体" w:hint="eastAsia"/>
          <w:b/>
          <w:spacing w:val="-4"/>
          <w:sz w:val="32"/>
          <w:szCs w:val="32"/>
        </w:rPr>
        <w:t>（四）项目效益情况。</w:t>
      </w:r>
    </w:p>
    <w:p w14:paraId="3010DFF8"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t>项目效益类指标由2个二级指标和2个三级指标构成，权重分22分，实际得分22分。</w:t>
        <w:br/>
        <w:t>1.社会效益完成情况分析</w:t>
        <w:br/>
        <w:t>“提升公众出行服务水平”指标：预期指标值为“有效提升”，实际完成指标值为“有效提升”，指标完成率为100%。</w:t>
        <w:br/>
        <w:t>综上所述，本指标满分为12分，根据评分标准得12分。</w:t>
        <w:br/>
        <w:t>2.满意度完成情况分析</w:t>
        <w:br/>
        <w:t>“受益对象满意度”指标：预期指标值为“大于等于90%”，实际完成指标值为“大于等于90%”，指标完成率为100%。</w:t>
        <w:br/>
        <w:t>综上所述，本指标满分为10分，根据评分标准得10分。</w:t>
      </w:r>
    </w:p>
    <w:p w14:paraId="7729649D" w14:textId="77777777" w:rsidR="00B30C15" w:rsidRDefault="00DB6A4D">
      <w:pPr>
        <w:spacing w:line="540" w:lineRule="exact"/>
        <w:ind w:firstLine="567"/>
        <w:rPr>
          <w:rStyle w:val="ad"/>
          <w:rFonts w:ascii="楷体" w:eastAsia="楷体" w:hAnsi="楷体"/>
          <w:spacing w:val="-4"/>
          <w:sz w:val="32"/>
          <w:szCs w:val="32"/>
        </w:rPr>
      </w:pPr>
      <w:r>
        <w:rPr>
          <w:rStyle w:val="ad"/>
          <w:rFonts w:ascii="楷体" w:eastAsia="楷体" w:hAnsi="楷体" w:hint="eastAsia"/>
          <w:spacing w:val="-4"/>
          <w:sz w:val="32"/>
          <w:szCs w:val="32"/>
        </w:rPr>
        <w:lastRenderedPageBreak/>
        <w:t/>
      </w:r>
    </w:p>
    <w:p w14:paraId="0A05BF98" w14:textId="77777777" w:rsidR="00B30C15" w:rsidRDefault="00DB6A4D">
      <w:pPr>
        <w:spacing w:line="540" w:lineRule="exact"/>
        <w:ind w:firstLine="640"/>
        <w:rPr>
          <w:rStyle w:val="ad"/>
          <w:rFonts w:ascii="黑体" w:eastAsia="黑体" w:hAnsi="黑体"/>
          <w:spacing w:val="-4"/>
          <w:sz w:val="32"/>
          <w:szCs w:val="32"/>
        </w:rPr>
      </w:pPr>
      <w:r>
        <w:rPr>
          <w:rStyle w:val="ad"/>
          <w:rFonts w:ascii="黑体" w:eastAsia="黑体" w:hAnsi="黑体" w:hint="eastAsia"/>
          <w:b w:val="0"/>
          <w:spacing w:val="-4"/>
          <w:sz w:val="32"/>
          <w:szCs w:val="32"/>
        </w:rPr>
        <w:t>五、</w:t>
      </w:r>
      <w:r>
        <w:rPr>
          <w:rStyle w:val="ad"/>
          <w:rFonts w:ascii="黑体" w:eastAsia="黑体" w:hAnsi="黑体"/>
          <w:b w:val="0"/>
          <w:spacing w:val="-4"/>
          <w:sz w:val="32"/>
          <w:szCs w:val="32"/>
        </w:rPr>
        <w:t>主要经验及做法、存在的问题及原因分析</w:t>
      </w:r>
    </w:p>
    <w:p w14:paraId="1993D4B5"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（一）主要经验及做法</w:t>
        <w:br/>
        <w:t>我单位在2024年9月15日之前已经将补贴资金，分批次按时发放到位，将资金通过“一卡通”全部打入驾驶员个人账户。2023年度农村客运补贴资金和城市交通发展奖励资金已经全部发放完毕，利用企业安全教育学习的时间，对补贴资金发放、金额、核算方式等情况对驾驶员做回访，同时对核算方式及标准再次宣讲，确认驾驶员满意程度。目前未收集到驾驶员关于补贴资金发放方面的舆情。整体资金发放过程平稳有序。</w:t>
        <w:br/>
        <w:t>（二）存在的问题及原因分析</w:t>
        <w:br/>
        <w:t>1.运营模式与市场环境不匹配，客源萎缩和成本高企，网约车、私家车普及导致公交客流下降，出租车及农村客运车辆收入较低，成本日渐上涨。线路规划僵化，传统“一车一线”模式难以适用分散需求。</w:t>
        <w:br/>
        <w:t>2.人员绩效管理意识缺乏，部分业务人员绩效管理人员意识较为薄弱，尚未全面深入理解绩效管理工作，绩效管理经验不足。</w:t>
        <w:br/>
        <w:t>（三）下一步改进措施</w:t>
        <w:br/>
        <w:t>1.创新运营模式与多元融资。推广农村客运及县域出租车灵活经营模式，根据片区、客流动态调整，按需发车，覆盖偏远地区。引入社会资本参与充电桩建设，积极申请专项资金购置新能源汽车投入运营，降低运营成本。</w:t>
        <w:br/>
        <w:t>2.进一步加强项目资金管理。严格实行项目管理程序化，实现项目申报、实施、拨付、评价全流程监督与控制，规范专项资金管理，提高专项资金的使用效益，加快资金拨付进度，确保后续绩效目标的有效实现提供有力支撑。</w:t>
      </w:r>
    </w:p>
    <w:p w14:paraId="5753D6DB" w14:textId="77777777" w:rsidR="00B30C15" w:rsidRDefault="00DB6A4D">
      <w:pPr>
        <w:ind w:firstLineChars="200" w:firstLine="624"/>
        <w:rPr>
          <w:rStyle w:val="ad"/>
          <w:rFonts w:ascii="黑体" w:eastAsia="黑体" w:hAnsi="黑体"/>
          <w:b w:val="0"/>
          <w:spacing w:val="-4"/>
          <w:sz w:val="32"/>
          <w:szCs w:val="32"/>
        </w:rPr>
      </w:pPr>
      <w:r>
        <w:rPr>
          <w:rStyle w:val="ad"/>
          <w:rFonts w:ascii="黑体" w:eastAsia="黑体" w:hAnsi="黑体" w:hint="eastAsia"/>
          <w:b w:val="0"/>
          <w:spacing w:val="-4"/>
          <w:sz w:val="32"/>
          <w:szCs w:val="32"/>
        </w:rPr>
        <w:t>六</w:t>
      </w:r>
      <w:r>
        <w:rPr>
          <w:rStyle w:val="ad"/>
          <w:rFonts w:ascii="黑体" w:eastAsia="黑体" w:hAnsi="黑体"/>
          <w:b w:val="0"/>
          <w:spacing w:val="-4"/>
          <w:sz w:val="32"/>
          <w:szCs w:val="32"/>
        </w:rPr>
        <w:t>、有关建议</w:t>
      </w:r>
    </w:p>
    <w:p w14:paraId="466664C1"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加强新行政单位会计制度和新预算法学习培训、规范账务处理，加强新《预算法》《政府会计制度》《会计法》及《行政单位财务规则》等学习培训,规范部门预算收支核算。一是制定和完善基本支出、项目支出等各项支出标准,严格按项目进度执行预算,增强预算的约束力和严肃性。二是落实预算执行分析,及时了解预算执行差异,合理调整、纠正预算执行偏差，切实提高部门预算收支管理水平。尽可能地做到决算与预算相衔接。</w:t>
        <w:br/>
        <w:t>（二）科学合理编制预算，严格执行预算。进一步提高预算编制到位率，做准做全基本支出预算，做全项目支出预算，加强预算支出的审核、跟踪及预算执行情况分析，提高预算编制严谨性和可控性。　</w:t>
      </w:r>
    </w:p>
    <w:p w14:paraId="613407BE" w14:textId="77777777" w:rsidR="00B30C15" w:rsidRDefault="00DB6A4D">
      <w:pPr>
        <w:spacing w:line="540" w:lineRule="exact"/>
        <w:ind w:firstLine="567"/>
        <w:rPr>
          <w:rStyle w:val="ad"/>
          <w:rFonts w:ascii="黑体" w:eastAsia="黑体" w:hAnsi="黑体"/>
          <w:b w:val="0"/>
          <w:spacing w:val="-4"/>
          <w:sz w:val="32"/>
          <w:szCs w:val="32"/>
        </w:rPr>
      </w:pPr>
      <w:r>
        <w:rPr>
          <w:rStyle w:val="ad"/>
          <w:rFonts w:ascii="黑体" w:eastAsia="黑体" w:hAnsi="黑体" w:hint="eastAsia"/>
          <w:b w:val="0"/>
          <w:spacing w:val="-4"/>
          <w:sz w:val="32"/>
          <w:szCs w:val="32"/>
        </w:rPr>
        <w:t>七、其他需要说明的问题</w:t>
      </w:r>
    </w:p>
    <w:p w14:paraId="2419F6BE" w14:textId="77777777" w:rsidR="00B30C15" w:rsidRDefault="00DB6A4D">
      <w:pPr>
        <w:spacing w:line="540" w:lineRule="exact"/>
        <w:ind w:firstLineChars="200" w:firstLine="627"/>
        <w:rPr>
          <w:rStyle w:val="ad"/>
          <w:rFonts w:ascii="楷体" w:eastAsia="楷体" w:hAnsi="楷体"/>
          <w:spacing w:val="-4"/>
          <w:sz w:val="32"/>
          <w:szCs w:val="32"/>
        </w:rPr>
      </w:pPr>
      <w:r>
        <w:rPr>
          <w:rStyle w:val="ad"/>
          <w:rFonts w:ascii="楷体" w:eastAsia="楷体" w:hAnsi="楷体" w:hint="eastAsia"/>
          <w:spacing w:val="-4"/>
          <w:sz w:val="32"/>
          <w:szCs w:val="32"/>
        </w:rPr>
        <w:t>（一）本项目产生的部分间接性效果无法在短期内进行衡量，因此很难认定项目产生的全部效果。通过指标来反映绩效，指标的科学性和全面性需要不断地完善和研究。</w:t>
        <w:br/>
        <w:t>（二）评价结果作为安排政府预算、完善政策和改进管理的重要依据。原则上，对评价等级为优、良的，根据情况予以支持；对评价等级为中、差的，要完善政策、改进管理，根据情况核减预算。</w:t>
        <w:br/>
        <w:t>（三）评价结果分别编入政府决算和部门预算，报送本级人民代表大会常务委员会，并依法予以公开。</w:t>
        <w:br/>
        <w:t>（四）对使用财政资金严重低效无效并造成重大损失的责任人，要按照相关规定追责问责。对绩效评价过程中发现的资金使用单位和个人的财政违法行为，依照《中华人民共和国预算法》《财政违法行为处罚处分条例》等有关规定追究责任，发现违纪违法问题线索的，应当及时移送纪检监察机关。</w:t>
        <w:br/>
        <w:t>（五）工作人员在绩效评价管理工作中存在违反《项目支出绩效评价管理办法》（财预〔2020〕10号）文件行为的，其他滥用职权、徇私舞弊等违法违纪行为的，依照《中华人民共和国预算法》《中华人民共和国公务员法》《中华人民共和国监察法》《财政违法行为处罚处分条例》等国家有关规定追究相应责任，涉嫌犯罪的，依法移送司法机关处理。</w:t>
      </w:r>
    </w:p>
    <w:p w14:paraId="131B8E06" w14:textId="77777777" w:rsidR="00B30C15" w:rsidRDefault="00B30C15">
      <w:pPr>
        <w:spacing w:line="540" w:lineRule="exact"/>
        <w:ind w:firstLine="567"/>
        <w:rPr>
          <w:rStyle w:val="ad"/>
          <w:rFonts w:ascii="仿宋" w:eastAsia="仿宋" w:hAnsi="仿宋"/>
          <w:b w:val="0"/>
          <w:spacing w:val="-4"/>
          <w:sz w:val="32"/>
          <w:szCs w:val="32"/>
        </w:rPr>
      </w:pPr>
    </w:p>
    <w:p w14:paraId="23243C18" w14:textId="77777777" w:rsidR="00B30C15" w:rsidRDefault="00B30C15">
      <w:pPr>
        <w:spacing w:line="540" w:lineRule="exact"/>
        <w:ind w:firstLine="567"/>
        <w:rPr>
          <w:rStyle w:val="ad"/>
          <w:rFonts w:ascii="仿宋" w:eastAsia="仿宋" w:hAnsi="仿宋"/>
          <w:b w:val="0"/>
          <w:spacing w:val="-4"/>
          <w:sz w:val="32"/>
          <w:szCs w:val="32"/>
        </w:rPr>
      </w:pPr>
    </w:p>
    <w:p w14:paraId="40223C3C" w14:textId="77777777" w:rsidR="00B30C15" w:rsidRDefault="00B30C15">
      <w:pPr>
        <w:spacing w:line="540" w:lineRule="exact"/>
        <w:ind w:firstLine="567"/>
        <w:rPr>
          <w:rStyle w:val="ad"/>
          <w:rFonts w:ascii="仿宋" w:eastAsia="仿宋" w:hAnsi="仿宋"/>
          <w:b w:val="0"/>
          <w:spacing w:val="-4"/>
          <w:sz w:val="32"/>
          <w:szCs w:val="32"/>
        </w:rPr>
      </w:pPr>
    </w:p>
    <w:p w14:paraId="7C6DA9A0" w14:textId="77777777" w:rsidR="00B30C15" w:rsidRDefault="00B30C15">
      <w:pPr>
        <w:spacing w:line="540" w:lineRule="exact"/>
        <w:ind w:firstLine="567"/>
        <w:rPr>
          <w:rStyle w:val="ad"/>
          <w:rFonts w:ascii="仿宋" w:eastAsia="仿宋" w:hAnsi="仿宋"/>
          <w:b w:val="0"/>
          <w:spacing w:val="-4"/>
          <w:sz w:val="32"/>
          <w:szCs w:val="32"/>
        </w:rPr>
      </w:pPr>
    </w:p>
    <w:p w14:paraId="16116B8B" w14:textId="77777777" w:rsidR="00B30C15" w:rsidRDefault="00B30C15">
      <w:pPr>
        <w:spacing w:line="540" w:lineRule="exact"/>
        <w:ind w:firstLine="567"/>
        <w:rPr>
          <w:rStyle w:val="ad"/>
          <w:rFonts w:ascii="仿宋" w:eastAsia="仿宋" w:hAnsi="仿宋"/>
          <w:b w:val="0"/>
          <w:spacing w:val="-4"/>
          <w:sz w:val="32"/>
          <w:szCs w:val="32"/>
        </w:rPr>
      </w:pPr>
    </w:p>
    <w:p w14:paraId="35577642" w14:textId="77777777" w:rsidR="00B30C15" w:rsidRDefault="00B30C15">
      <w:pPr>
        <w:spacing w:line="540" w:lineRule="exact"/>
        <w:ind w:firstLine="567"/>
        <w:rPr>
          <w:rStyle w:val="ad"/>
          <w:rFonts w:ascii="仿宋" w:eastAsia="仿宋" w:hAnsi="仿宋"/>
          <w:b w:val="0"/>
          <w:spacing w:val="-4"/>
          <w:sz w:val="32"/>
          <w:szCs w:val="32"/>
        </w:rPr>
      </w:pPr>
    </w:p>
    <w:p w14:paraId="776095BE" w14:textId="77777777" w:rsidR="00B30C15" w:rsidRDefault="00B30C15">
      <w:pPr>
        <w:spacing w:line="540" w:lineRule="exact"/>
        <w:ind w:firstLine="567"/>
        <w:rPr>
          <w:rStyle w:val="ad"/>
          <w:rFonts w:ascii="仿宋" w:eastAsia="仿宋" w:hAnsi="仿宋"/>
          <w:b w:val="0"/>
          <w:spacing w:val="-4"/>
          <w:sz w:val="32"/>
          <w:szCs w:val="32"/>
        </w:rPr>
      </w:pPr>
    </w:p>
    <w:p w14:paraId="4F5D9D13" w14:textId="77777777" w:rsidR="00B30C15" w:rsidRDefault="00B30C15">
      <w:pPr>
        <w:spacing w:line="540" w:lineRule="exact"/>
        <w:ind w:firstLine="567"/>
        <w:rPr>
          <w:rStyle w:val="ad"/>
          <w:rFonts w:ascii="仿宋" w:eastAsia="仿宋" w:hAnsi="仿宋"/>
          <w:b w:val="0"/>
          <w:spacing w:val="-4"/>
          <w:sz w:val="32"/>
          <w:szCs w:val="32"/>
        </w:rPr>
      </w:pPr>
    </w:p>
    <w:p w14:paraId="555FAFE7" w14:textId="77777777" w:rsidR="00B30C15" w:rsidRDefault="00B30C15">
      <w:pPr>
        <w:spacing w:line="540" w:lineRule="exact"/>
        <w:ind w:firstLine="567"/>
        <w:rPr>
          <w:rStyle w:val="ad"/>
          <w:rFonts w:ascii="仿宋" w:eastAsia="仿宋" w:hAnsi="仿宋"/>
          <w:b w:val="0"/>
          <w:spacing w:val="-4"/>
          <w:sz w:val="32"/>
          <w:szCs w:val="32"/>
        </w:rPr>
      </w:pPr>
    </w:p>
    <w:p w14:paraId="52EC0E21" w14:textId="77777777" w:rsidR="00B30C15" w:rsidRDefault="00B30C15">
      <w:pPr>
        <w:spacing w:line="540" w:lineRule="exact"/>
        <w:ind w:firstLine="567"/>
        <w:rPr>
          <w:rStyle w:val="ad"/>
          <w:rFonts w:ascii="仿宋" w:eastAsia="仿宋" w:hAnsi="仿宋"/>
          <w:b w:val="0"/>
          <w:spacing w:val="-4"/>
          <w:sz w:val="32"/>
          <w:szCs w:val="32"/>
        </w:rPr>
      </w:pPr>
    </w:p>
    <w:p w14:paraId="44E6E054" w14:textId="77777777" w:rsidR="00B30C15" w:rsidRDefault="00B30C15">
      <w:pPr>
        <w:spacing w:line="540" w:lineRule="exact"/>
        <w:ind w:firstLine="567"/>
        <w:rPr>
          <w:rStyle w:val="ad"/>
          <w:rFonts w:ascii="仿宋" w:eastAsia="仿宋" w:hAnsi="仿宋"/>
          <w:b w:val="0"/>
          <w:spacing w:val="-4"/>
          <w:sz w:val="32"/>
          <w:szCs w:val="32"/>
        </w:rPr>
      </w:pPr>
    </w:p>
    <w:p w14:paraId="6838D646" w14:textId="77777777" w:rsidR="00B30C15" w:rsidRDefault="00B30C15">
      <w:pPr>
        <w:spacing w:line="540" w:lineRule="exact"/>
        <w:ind w:firstLine="567"/>
        <w:rPr>
          <w:rStyle w:val="ad"/>
          <w:rFonts w:ascii="仿宋" w:eastAsia="仿宋" w:hAnsi="仿宋"/>
          <w:b w:val="0"/>
          <w:spacing w:val="-4"/>
          <w:sz w:val="32"/>
          <w:szCs w:val="32"/>
        </w:rPr>
      </w:pPr>
    </w:p>
    <w:sectPr w:rsidR="00B30C15">
      <w:footerReference w:type="default" r:id="rId7"/>
      <w:pgSz w:w="11906" w:h="16838"/>
      <w:pgMar w:top="1440" w:right="1558" w:bottom="1440" w:left="180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36AA3A5A" w14:textId="77777777" w:rsidR="005B0E51" w:rsidRDefault="005B0E51">
      <w:r>
        <w:separator/>
      </w:r>
    </w:p>
  </w:endnote>
  <w:endnote w:type="continuationSeparator" w:id="0">
    <w:p w14:paraId="37AE86F2" w14:textId="77777777" w:rsidR="005B0E51" w:rsidRDefault="005B0E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Calibri">
    <w:panose1 w:val="020F0502020204030204"/>
    <w:charset w:val="00"/>
    <w:family w:val="swiss"/>
    <w:pitch w:val="variable"/>
    <w:sig w:usb0="E0002A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Cambria">
    <w:panose1 w:val="02040503050406030204"/>
    <w:charset w:val="00"/>
    <w:family w:val="roman"/>
    <w:pitch w:val="variable"/>
    <w:sig w:usb0="E00006FF" w:usb1="400004FF" w:usb2="00000000" w:usb3="00000000" w:csb0="0000019F" w:csb1="00000000"/>
  </w:font>
  <w:font w:name="仿宋">
    <w:panose1 w:val="02010609060101010101"/>
    <w:charset w:val="86"/>
    <w:family w:val="modern"/>
    <w:pitch w:val="fixed"/>
    <w:sig w:usb0="800002BF" w:usb1="38CF7CFA" w:usb2="00000016" w:usb3="00000000" w:csb0="00040001" w:csb1="00000000"/>
  </w:font>
  <w:font w:name="华文中宋">
    <w:altName w:val="宋体"/>
    <w:panose1 w:val="02010600040101010101"/>
    <w:charset w:val="86"/>
    <w:family w:val="auto"/>
    <w:pitch w:val="variable"/>
    <w:sig w:usb0="00000287" w:usb1="080F0000" w:usb2="00000010" w:usb3="00000000" w:csb0="0004009F" w:csb1="00000000"/>
  </w:font>
  <w:font w:name="方正小标宋_GBK">
    <w:altName w:val="微软雅黑"/>
    <w:charset w:val="86"/>
    <w:family w:val="script"/>
    <w:pitch w:val="default"/>
    <w:sig w:usb0="00000000" w:usb1="00000000" w:usb2="00000010" w:usb3="00000000" w:csb0="00040000" w:csb1="00000000"/>
  </w:font>
  <w:font w:name="仿宋_GB2312">
    <w:altName w:val="仿宋"/>
    <w:charset w:val="86"/>
    <w:family w:val="modern"/>
    <w:pitch w:val="default"/>
    <w:sig w:usb0="00000000" w:usb1="00000000" w:usb2="00000010" w:usb3="00000000" w:csb0="00040000" w:csb1="00000000"/>
  </w:font>
  <w:font w:name="楷体">
    <w:panose1 w:val="02010609060101010101"/>
    <w:charset w:val="86"/>
    <w:family w:val="modern"/>
    <w:pitch w:val="fixed"/>
    <w:sig w:usb0="800002BF" w:usb1="38CF7CFA"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422003363"/>
    </w:sdtPr>
    <w:sdtContent>
      <w:p w14:paraId="598F32AA" w14:textId="77777777" w:rsidR="00B30C15" w:rsidRDefault="00DB6A4D">
        <w:pPr>
          <w:pStyle w:val="a5"/>
          <w:jc w:val="center"/>
        </w:pPr>
        <w:r>
          <w:fldChar w:fldCharType="begin"/>
        </w:r>
        <w:r>
          <w:instrText>PAGE   \* MERGEFORMAT</w:instrText>
        </w:r>
        <w:r>
          <w:fldChar w:fldCharType="separate"/>
        </w:r>
        <w:r>
          <w:rPr>
            <w:lang w:val="zh-CN"/>
          </w:rPr>
          <w:t>1</w:t>
        </w:r>
        <w:r>
          <w:fldChar w:fldCharType="end"/>
        </w:r>
      </w:p>
    </w:sdtContent>
  </w:sdt>
  <w:p w14:paraId="659798A5" w14:textId="77777777" w:rsidR="00B30C15" w:rsidRDefault="00B30C15">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5F41C3D0" w14:textId="77777777" w:rsidR="005B0E51" w:rsidRDefault="005B0E51">
      <w:r>
        <w:separator/>
      </w:r>
    </w:p>
  </w:footnote>
  <w:footnote w:type="continuationSeparator" w:id="0">
    <w:p w14:paraId="58CFDD50" w14:textId="77777777" w:rsidR="005B0E51" w:rsidRDefault="005B0E51">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20"/>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6457"/>
    <w:rsid w:val="000110C4"/>
    <w:rsid w:val="00037D50"/>
    <w:rsid w:val="0005416C"/>
    <w:rsid w:val="00056465"/>
    <w:rsid w:val="001028C5"/>
    <w:rsid w:val="00102DFF"/>
    <w:rsid w:val="00121AE4"/>
    <w:rsid w:val="0014601B"/>
    <w:rsid w:val="00146AAD"/>
    <w:rsid w:val="00150F05"/>
    <w:rsid w:val="001B3A40"/>
    <w:rsid w:val="00273CCD"/>
    <w:rsid w:val="00291BC0"/>
    <w:rsid w:val="00311DBE"/>
    <w:rsid w:val="00345DD7"/>
    <w:rsid w:val="00351EFF"/>
    <w:rsid w:val="003B0577"/>
    <w:rsid w:val="003E7E58"/>
    <w:rsid w:val="003F5180"/>
    <w:rsid w:val="00414C3A"/>
    <w:rsid w:val="004366A8"/>
    <w:rsid w:val="004A05EE"/>
    <w:rsid w:val="004C38BC"/>
    <w:rsid w:val="004F1F3C"/>
    <w:rsid w:val="00502BA7"/>
    <w:rsid w:val="005162F1"/>
    <w:rsid w:val="00535153"/>
    <w:rsid w:val="00554F82"/>
    <w:rsid w:val="0056390D"/>
    <w:rsid w:val="005719B0"/>
    <w:rsid w:val="005A4F2E"/>
    <w:rsid w:val="005A5018"/>
    <w:rsid w:val="005B0E51"/>
    <w:rsid w:val="005C51DF"/>
    <w:rsid w:val="005D10D6"/>
    <w:rsid w:val="005E7C5E"/>
    <w:rsid w:val="00725906"/>
    <w:rsid w:val="0075584F"/>
    <w:rsid w:val="007719C9"/>
    <w:rsid w:val="00855E3A"/>
    <w:rsid w:val="0091457F"/>
    <w:rsid w:val="00922CB9"/>
    <w:rsid w:val="00925D36"/>
    <w:rsid w:val="00944DD1"/>
    <w:rsid w:val="009E5CD9"/>
    <w:rsid w:val="009F4373"/>
    <w:rsid w:val="00A26421"/>
    <w:rsid w:val="00A34588"/>
    <w:rsid w:val="00A413B8"/>
    <w:rsid w:val="00A4293B"/>
    <w:rsid w:val="00A67D50"/>
    <w:rsid w:val="00A8691A"/>
    <w:rsid w:val="00A972DF"/>
    <w:rsid w:val="00AC1946"/>
    <w:rsid w:val="00AC3A96"/>
    <w:rsid w:val="00AD5E52"/>
    <w:rsid w:val="00AF683C"/>
    <w:rsid w:val="00B2343E"/>
    <w:rsid w:val="00B30C15"/>
    <w:rsid w:val="00B40063"/>
    <w:rsid w:val="00B41F61"/>
    <w:rsid w:val="00B74D04"/>
    <w:rsid w:val="00BA46E6"/>
    <w:rsid w:val="00BB5015"/>
    <w:rsid w:val="00C56C72"/>
    <w:rsid w:val="00C62CB9"/>
    <w:rsid w:val="00CA6457"/>
    <w:rsid w:val="00CA6DC2"/>
    <w:rsid w:val="00CD37A4"/>
    <w:rsid w:val="00CE2FD9"/>
    <w:rsid w:val="00D17F2E"/>
    <w:rsid w:val="00D30354"/>
    <w:rsid w:val="00D52B7C"/>
    <w:rsid w:val="00D80C1E"/>
    <w:rsid w:val="00DB1661"/>
    <w:rsid w:val="00DB6A4D"/>
    <w:rsid w:val="00DF42A0"/>
    <w:rsid w:val="00E30E91"/>
    <w:rsid w:val="00E769FE"/>
    <w:rsid w:val="00E774CE"/>
    <w:rsid w:val="00E96D03"/>
    <w:rsid w:val="00EA2CBE"/>
    <w:rsid w:val="00EB10A0"/>
    <w:rsid w:val="00F32FEE"/>
    <w:rsid w:val="00FB10BB"/>
    <w:rsid w:val="2BA4637D"/>
    <w:rsid w:val="4D2606A1"/>
    <w:rsid w:val="693832C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4FA1BD1"/>
  <w15:docId w15:val="{760815B5-13C2-448F-A3DB-8948AFE4B10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EastAsia" w:hAnsiTheme="minorHAnsi"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unhideWhenUsed="1"/>
    <w:lsdException w:name="footer"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pPr>
    <w:rPr>
      <w:rFonts w:ascii="Times New Roman" w:eastAsia="宋体" w:hAnsi="Times New Roman"/>
      <w:kern w:val="2"/>
      <w:sz w:val="21"/>
      <w:szCs w:val="24"/>
    </w:rPr>
  </w:style>
  <w:style w:type="paragraph" w:styleId="1">
    <w:name w:val="heading 1"/>
    <w:basedOn w:val="a"/>
    <w:next w:val="a"/>
    <w:link w:val="10"/>
    <w:uiPriority w:val="9"/>
    <w:qFormat/>
    <w:pPr>
      <w:keepNext/>
      <w:widowControl/>
      <w:spacing w:before="240" w:after="60"/>
      <w:jc w:val="left"/>
      <w:outlineLvl w:val="0"/>
    </w:pPr>
    <w:rPr>
      <w:rFonts w:asciiTheme="majorHAnsi" w:eastAsiaTheme="majorEastAsia" w:hAnsiTheme="majorHAnsi"/>
      <w:b/>
      <w:bCs/>
      <w:kern w:val="32"/>
      <w:sz w:val="32"/>
      <w:szCs w:val="32"/>
    </w:rPr>
  </w:style>
  <w:style w:type="paragraph" w:styleId="2">
    <w:name w:val="heading 2"/>
    <w:basedOn w:val="a"/>
    <w:next w:val="a"/>
    <w:link w:val="20"/>
    <w:uiPriority w:val="9"/>
    <w:semiHidden/>
    <w:unhideWhenUsed/>
    <w:qFormat/>
    <w:pPr>
      <w:keepNext/>
      <w:widowControl/>
      <w:spacing w:before="240" w:after="60"/>
      <w:jc w:val="left"/>
      <w:outlineLvl w:val="1"/>
    </w:pPr>
    <w:rPr>
      <w:rFonts w:asciiTheme="majorHAnsi" w:eastAsiaTheme="majorEastAsia" w:hAnsiTheme="majorHAnsi"/>
      <w:b/>
      <w:bCs/>
      <w:i/>
      <w:iCs/>
      <w:kern w:val="0"/>
      <w:sz w:val="28"/>
      <w:szCs w:val="28"/>
    </w:rPr>
  </w:style>
  <w:style w:type="paragraph" w:styleId="3">
    <w:name w:val="heading 3"/>
    <w:basedOn w:val="a"/>
    <w:next w:val="a"/>
    <w:link w:val="30"/>
    <w:uiPriority w:val="9"/>
    <w:semiHidden/>
    <w:unhideWhenUsed/>
    <w:qFormat/>
    <w:pPr>
      <w:keepNext/>
      <w:widowControl/>
      <w:spacing w:before="240" w:after="60"/>
      <w:jc w:val="left"/>
      <w:outlineLvl w:val="2"/>
    </w:pPr>
    <w:rPr>
      <w:rFonts w:asciiTheme="majorHAnsi" w:eastAsiaTheme="majorEastAsia" w:hAnsiTheme="majorHAnsi"/>
      <w:b/>
      <w:bCs/>
      <w:kern w:val="0"/>
      <w:sz w:val="26"/>
      <w:szCs w:val="26"/>
    </w:rPr>
  </w:style>
  <w:style w:type="paragraph" w:styleId="4">
    <w:name w:val="heading 4"/>
    <w:basedOn w:val="a"/>
    <w:next w:val="a"/>
    <w:link w:val="40"/>
    <w:uiPriority w:val="9"/>
    <w:unhideWhenUsed/>
    <w:qFormat/>
    <w:pPr>
      <w:keepNext/>
      <w:widowControl/>
      <w:spacing w:before="240" w:after="60"/>
      <w:jc w:val="left"/>
      <w:outlineLvl w:val="3"/>
    </w:pPr>
    <w:rPr>
      <w:rFonts w:asciiTheme="minorHAnsi" w:eastAsiaTheme="minorEastAsia" w:hAnsiTheme="minorHAnsi"/>
      <w:b/>
      <w:bCs/>
      <w:kern w:val="0"/>
      <w:sz w:val="28"/>
      <w:szCs w:val="28"/>
    </w:rPr>
  </w:style>
  <w:style w:type="paragraph" w:styleId="5">
    <w:name w:val="heading 5"/>
    <w:basedOn w:val="a"/>
    <w:next w:val="a"/>
    <w:link w:val="50"/>
    <w:uiPriority w:val="9"/>
    <w:semiHidden/>
    <w:unhideWhenUsed/>
    <w:qFormat/>
    <w:pPr>
      <w:widowControl/>
      <w:spacing w:before="240" w:after="60"/>
      <w:jc w:val="left"/>
      <w:outlineLvl w:val="4"/>
    </w:pPr>
    <w:rPr>
      <w:rFonts w:asciiTheme="minorHAnsi" w:eastAsiaTheme="minorEastAsia" w:hAnsiTheme="minorHAnsi"/>
      <w:b/>
      <w:bCs/>
      <w:i/>
      <w:iCs/>
      <w:kern w:val="0"/>
      <w:sz w:val="26"/>
      <w:szCs w:val="26"/>
    </w:rPr>
  </w:style>
  <w:style w:type="paragraph" w:styleId="6">
    <w:name w:val="heading 6"/>
    <w:basedOn w:val="a"/>
    <w:next w:val="a"/>
    <w:link w:val="60"/>
    <w:uiPriority w:val="9"/>
    <w:semiHidden/>
    <w:unhideWhenUsed/>
    <w:qFormat/>
    <w:pPr>
      <w:widowControl/>
      <w:spacing w:before="240" w:after="60"/>
      <w:jc w:val="left"/>
      <w:outlineLvl w:val="5"/>
    </w:pPr>
    <w:rPr>
      <w:rFonts w:asciiTheme="minorHAnsi" w:eastAsiaTheme="minorEastAsia" w:hAnsiTheme="minorHAnsi"/>
      <w:b/>
      <w:bCs/>
      <w:kern w:val="0"/>
      <w:sz w:val="22"/>
      <w:szCs w:val="22"/>
    </w:rPr>
  </w:style>
  <w:style w:type="paragraph" w:styleId="7">
    <w:name w:val="heading 7"/>
    <w:basedOn w:val="a"/>
    <w:next w:val="a"/>
    <w:link w:val="70"/>
    <w:uiPriority w:val="9"/>
    <w:semiHidden/>
    <w:unhideWhenUsed/>
    <w:qFormat/>
    <w:pPr>
      <w:widowControl/>
      <w:spacing w:before="240" w:after="60"/>
      <w:jc w:val="left"/>
      <w:outlineLvl w:val="6"/>
    </w:pPr>
    <w:rPr>
      <w:rFonts w:asciiTheme="minorHAnsi" w:eastAsiaTheme="minorEastAsia" w:hAnsiTheme="minorHAnsi"/>
      <w:kern w:val="0"/>
      <w:sz w:val="24"/>
    </w:rPr>
  </w:style>
  <w:style w:type="paragraph" w:styleId="8">
    <w:name w:val="heading 8"/>
    <w:basedOn w:val="a"/>
    <w:next w:val="a"/>
    <w:link w:val="80"/>
    <w:uiPriority w:val="9"/>
    <w:semiHidden/>
    <w:unhideWhenUsed/>
    <w:qFormat/>
    <w:pPr>
      <w:widowControl/>
      <w:spacing w:before="240" w:after="60"/>
      <w:jc w:val="left"/>
      <w:outlineLvl w:val="7"/>
    </w:pPr>
    <w:rPr>
      <w:rFonts w:asciiTheme="minorHAnsi" w:eastAsiaTheme="minorEastAsia" w:hAnsiTheme="minorHAnsi"/>
      <w:i/>
      <w:iCs/>
      <w:kern w:val="0"/>
      <w:sz w:val="24"/>
    </w:rPr>
  </w:style>
  <w:style w:type="paragraph" w:styleId="9">
    <w:name w:val="heading 9"/>
    <w:basedOn w:val="a"/>
    <w:next w:val="a"/>
    <w:link w:val="90"/>
    <w:uiPriority w:val="9"/>
    <w:semiHidden/>
    <w:unhideWhenUsed/>
    <w:qFormat/>
    <w:pPr>
      <w:widowControl/>
      <w:spacing w:before="240" w:after="60"/>
      <w:jc w:val="left"/>
      <w:outlineLvl w:val="8"/>
    </w:pPr>
    <w:rPr>
      <w:rFonts w:asciiTheme="majorHAnsi" w:eastAsiaTheme="majorEastAsia" w:hAnsiTheme="majorHAnsi"/>
      <w:kern w:val="0"/>
      <w:sz w:val="22"/>
      <w:szCs w:val="2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Pr>
      <w:sz w:val="18"/>
      <w:szCs w:val="18"/>
    </w:rPr>
  </w:style>
  <w:style w:type="paragraph" w:styleId="a5">
    <w:name w:val="footer"/>
    <w:basedOn w:val="a"/>
    <w:link w:val="a6"/>
    <w:uiPriority w:val="99"/>
    <w:unhideWhenUsed/>
    <w:pPr>
      <w:tabs>
        <w:tab w:val="center" w:pos="4153"/>
        <w:tab w:val="right" w:pos="8306"/>
      </w:tabs>
      <w:snapToGrid w:val="0"/>
      <w:jc w:val="left"/>
    </w:pPr>
    <w:rPr>
      <w:rFonts w:ascii="Calibri" w:hAnsi="Calibri"/>
      <w:sz w:val="18"/>
      <w:szCs w:val="18"/>
    </w:rPr>
  </w:style>
  <w:style w:type="paragraph" w:styleId="a7">
    <w:name w:val="header"/>
    <w:basedOn w:val="a"/>
    <w:link w:val="a8"/>
    <w:uiPriority w:val="99"/>
    <w:unhideWhenUsed/>
    <w:pPr>
      <w:pBdr>
        <w:bottom w:val="single" w:sz="6" w:space="1" w:color="auto"/>
      </w:pBdr>
      <w:tabs>
        <w:tab w:val="center" w:pos="4153"/>
        <w:tab w:val="right" w:pos="8306"/>
      </w:tabs>
      <w:snapToGrid w:val="0"/>
      <w:jc w:val="center"/>
    </w:pPr>
    <w:rPr>
      <w:rFonts w:ascii="Calibri" w:hAnsi="Calibri"/>
      <w:sz w:val="18"/>
      <w:szCs w:val="18"/>
    </w:rPr>
  </w:style>
  <w:style w:type="paragraph" w:styleId="a9">
    <w:name w:val="Subtitle"/>
    <w:basedOn w:val="a"/>
    <w:next w:val="a"/>
    <w:link w:val="aa"/>
    <w:uiPriority w:val="11"/>
    <w:qFormat/>
    <w:pPr>
      <w:widowControl/>
      <w:spacing w:after="60"/>
      <w:jc w:val="center"/>
      <w:outlineLvl w:val="1"/>
    </w:pPr>
    <w:rPr>
      <w:rFonts w:asciiTheme="majorHAnsi" w:eastAsiaTheme="majorEastAsia" w:hAnsiTheme="majorHAnsi"/>
      <w:kern w:val="0"/>
      <w:sz w:val="24"/>
    </w:rPr>
  </w:style>
  <w:style w:type="paragraph" w:styleId="ab">
    <w:name w:val="Title"/>
    <w:basedOn w:val="a"/>
    <w:next w:val="a"/>
    <w:link w:val="ac"/>
    <w:uiPriority w:val="10"/>
    <w:qFormat/>
    <w:pPr>
      <w:widowControl/>
      <w:spacing w:before="240" w:after="60"/>
      <w:jc w:val="center"/>
      <w:outlineLvl w:val="0"/>
    </w:pPr>
    <w:rPr>
      <w:rFonts w:asciiTheme="majorHAnsi" w:eastAsiaTheme="majorEastAsia" w:hAnsiTheme="majorHAnsi"/>
      <w:b/>
      <w:bCs/>
      <w:kern w:val="28"/>
      <w:sz w:val="32"/>
      <w:szCs w:val="32"/>
    </w:rPr>
  </w:style>
  <w:style w:type="character" w:styleId="ad">
    <w:name w:val="Strong"/>
    <w:basedOn w:val="a0"/>
    <w:qFormat/>
    <w:rPr>
      <w:b/>
      <w:bCs/>
    </w:rPr>
  </w:style>
  <w:style w:type="character" w:styleId="ae">
    <w:name w:val="Emphasis"/>
    <w:basedOn w:val="a0"/>
    <w:uiPriority w:val="20"/>
    <w:qFormat/>
    <w:rPr>
      <w:rFonts w:asciiTheme="minorHAnsi" w:hAnsiTheme="minorHAnsi"/>
      <w:b/>
      <w:i/>
      <w:iCs/>
    </w:rPr>
  </w:style>
  <w:style w:type="character" w:customStyle="1" w:styleId="10">
    <w:name w:val="标题 1 字符"/>
    <w:basedOn w:val="a0"/>
    <w:link w:val="1"/>
    <w:uiPriority w:val="9"/>
    <w:qFormat/>
    <w:rPr>
      <w:rFonts w:asciiTheme="majorHAnsi" w:eastAsiaTheme="majorEastAsia" w:hAnsiTheme="majorHAnsi"/>
      <w:b/>
      <w:bCs/>
      <w:kern w:val="32"/>
      <w:sz w:val="32"/>
      <w:szCs w:val="32"/>
    </w:rPr>
  </w:style>
  <w:style w:type="character" w:customStyle="1" w:styleId="20">
    <w:name w:val="标题 2 字符"/>
    <w:basedOn w:val="a0"/>
    <w:link w:val="2"/>
    <w:uiPriority w:val="9"/>
    <w:semiHidden/>
    <w:qFormat/>
    <w:rPr>
      <w:rFonts w:asciiTheme="majorHAnsi" w:eastAsiaTheme="majorEastAsia" w:hAnsiTheme="majorHAnsi"/>
      <w:b/>
      <w:bCs/>
      <w:i/>
      <w:iCs/>
      <w:sz w:val="28"/>
      <w:szCs w:val="28"/>
    </w:rPr>
  </w:style>
  <w:style w:type="character" w:customStyle="1" w:styleId="30">
    <w:name w:val="标题 3 字符"/>
    <w:basedOn w:val="a0"/>
    <w:link w:val="3"/>
    <w:uiPriority w:val="9"/>
    <w:semiHidden/>
    <w:qFormat/>
    <w:rPr>
      <w:rFonts w:asciiTheme="majorHAnsi" w:eastAsiaTheme="majorEastAsia" w:hAnsiTheme="majorHAnsi"/>
      <w:b/>
      <w:bCs/>
      <w:sz w:val="26"/>
      <w:szCs w:val="26"/>
    </w:rPr>
  </w:style>
  <w:style w:type="character" w:customStyle="1" w:styleId="40">
    <w:name w:val="标题 4 字符"/>
    <w:basedOn w:val="a0"/>
    <w:link w:val="4"/>
    <w:uiPriority w:val="9"/>
    <w:qFormat/>
    <w:rPr>
      <w:b/>
      <w:bCs/>
      <w:sz w:val="28"/>
      <w:szCs w:val="28"/>
    </w:rPr>
  </w:style>
  <w:style w:type="character" w:customStyle="1" w:styleId="50">
    <w:name w:val="标题 5 字符"/>
    <w:basedOn w:val="a0"/>
    <w:link w:val="5"/>
    <w:uiPriority w:val="9"/>
    <w:semiHidden/>
    <w:qFormat/>
    <w:rPr>
      <w:b/>
      <w:bCs/>
      <w:i/>
      <w:iCs/>
      <w:sz w:val="26"/>
      <w:szCs w:val="26"/>
    </w:rPr>
  </w:style>
  <w:style w:type="character" w:customStyle="1" w:styleId="60">
    <w:name w:val="标题 6 字符"/>
    <w:basedOn w:val="a0"/>
    <w:link w:val="6"/>
    <w:uiPriority w:val="9"/>
    <w:semiHidden/>
    <w:qFormat/>
    <w:rPr>
      <w:b/>
      <w:bCs/>
    </w:rPr>
  </w:style>
  <w:style w:type="character" w:customStyle="1" w:styleId="70">
    <w:name w:val="标题 7 字符"/>
    <w:basedOn w:val="a0"/>
    <w:link w:val="7"/>
    <w:uiPriority w:val="9"/>
    <w:semiHidden/>
    <w:qFormat/>
    <w:rPr>
      <w:sz w:val="24"/>
      <w:szCs w:val="24"/>
    </w:rPr>
  </w:style>
  <w:style w:type="character" w:customStyle="1" w:styleId="80">
    <w:name w:val="标题 8 字符"/>
    <w:basedOn w:val="a0"/>
    <w:link w:val="8"/>
    <w:uiPriority w:val="9"/>
    <w:semiHidden/>
    <w:qFormat/>
    <w:rPr>
      <w:i/>
      <w:iCs/>
      <w:sz w:val="24"/>
      <w:szCs w:val="24"/>
    </w:rPr>
  </w:style>
  <w:style w:type="character" w:customStyle="1" w:styleId="90">
    <w:name w:val="标题 9 字符"/>
    <w:basedOn w:val="a0"/>
    <w:link w:val="9"/>
    <w:uiPriority w:val="9"/>
    <w:semiHidden/>
    <w:qFormat/>
    <w:rPr>
      <w:rFonts w:asciiTheme="majorHAnsi" w:eastAsiaTheme="majorEastAsia" w:hAnsiTheme="majorHAnsi"/>
    </w:rPr>
  </w:style>
  <w:style w:type="character" w:customStyle="1" w:styleId="ac">
    <w:name w:val="标题 字符"/>
    <w:basedOn w:val="a0"/>
    <w:link w:val="ab"/>
    <w:uiPriority w:val="10"/>
    <w:rPr>
      <w:rFonts w:asciiTheme="majorHAnsi" w:eastAsiaTheme="majorEastAsia" w:hAnsiTheme="majorHAnsi"/>
      <w:b/>
      <w:bCs/>
      <w:kern w:val="28"/>
      <w:sz w:val="32"/>
      <w:szCs w:val="32"/>
    </w:rPr>
  </w:style>
  <w:style w:type="character" w:customStyle="1" w:styleId="aa">
    <w:name w:val="副标题 字符"/>
    <w:basedOn w:val="a0"/>
    <w:link w:val="a9"/>
    <w:uiPriority w:val="11"/>
    <w:qFormat/>
    <w:rPr>
      <w:rFonts w:asciiTheme="majorHAnsi" w:eastAsiaTheme="majorEastAsia" w:hAnsiTheme="majorHAnsi"/>
      <w:sz w:val="24"/>
      <w:szCs w:val="24"/>
    </w:rPr>
  </w:style>
  <w:style w:type="paragraph" w:styleId="af">
    <w:name w:val="No Spacing"/>
    <w:basedOn w:val="a"/>
    <w:uiPriority w:val="1"/>
    <w:qFormat/>
    <w:pPr>
      <w:widowControl/>
      <w:jc w:val="left"/>
    </w:pPr>
    <w:rPr>
      <w:rFonts w:asciiTheme="minorHAnsi" w:eastAsiaTheme="minorEastAsia" w:hAnsiTheme="minorHAnsi"/>
      <w:kern w:val="0"/>
      <w:sz w:val="24"/>
      <w:szCs w:val="32"/>
      <w:lang w:eastAsia="en-US" w:bidi="en-US"/>
    </w:rPr>
  </w:style>
  <w:style w:type="paragraph" w:styleId="af0">
    <w:name w:val="List Paragraph"/>
    <w:basedOn w:val="a"/>
    <w:uiPriority w:val="34"/>
    <w:qFormat/>
    <w:pPr>
      <w:widowControl/>
      <w:ind w:left="720"/>
      <w:contextualSpacing/>
      <w:jc w:val="left"/>
    </w:pPr>
    <w:rPr>
      <w:rFonts w:asciiTheme="minorHAnsi" w:eastAsiaTheme="minorEastAsia" w:hAnsiTheme="minorHAnsi"/>
      <w:kern w:val="0"/>
      <w:sz w:val="24"/>
      <w:lang w:eastAsia="en-US" w:bidi="en-US"/>
    </w:rPr>
  </w:style>
  <w:style w:type="paragraph" w:styleId="af1">
    <w:name w:val="Quote"/>
    <w:basedOn w:val="a"/>
    <w:next w:val="a"/>
    <w:link w:val="af2"/>
    <w:uiPriority w:val="29"/>
    <w:qFormat/>
    <w:pPr>
      <w:widowControl/>
      <w:jc w:val="left"/>
    </w:pPr>
    <w:rPr>
      <w:rFonts w:asciiTheme="minorHAnsi" w:eastAsiaTheme="minorEastAsia" w:hAnsiTheme="minorHAnsi"/>
      <w:i/>
      <w:kern w:val="0"/>
      <w:sz w:val="24"/>
    </w:rPr>
  </w:style>
  <w:style w:type="character" w:customStyle="1" w:styleId="af2">
    <w:name w:val="引用 字符"/>
    <w:basedOn w:val="a0"/>
    <w:link w:val="af1"/>
    <w:uiPriority w:val="29"/>
    <w:rPr>
      <w:i/>
      <w:sz w:val="24"/>
      <w:szCs w:val="24"/>
    </w:rPr>
  </w:style>
  <w:style w:type="paragraph" w:styleId="af3">
    <w:name w:val="Intense Quote"/>
    <w:basedOn w:val="a"/>
    <w:next w:val="a"/>
    <w:link w:val="af4"/>
    <w:uiPriority w:val="30"/>
    <w:qFormat/>
    <w:pPr>
      <w:widowControl/>
      <w:ind w:left="720" w:right="720"/>
      <w:jc w:val="left"/>
    </w:pPr>
    <w:rPr>
      <w:rFonts w:asciiTheme="minorHAnsi" w:eastAsiaTheme="minorEastAsia" w:hAnsiTheme="minorHAnsi"/>
      <w:b/>
      <w:i/>
      <w:kern w:val="0"/>
      <w:sz w:val="24"/>
      <w:szCs w:val="22"/>
    </w:rPr>
  </w:style>
  <w:style w:type="character" w:customStyle="1" w:styleId="af4">
    <w:name w:val="明显引用 字符"/>
    <w:basedOn w:val="a0"/>
    <w:link w:val="af3"/>
    <w:uiPriority w:val="30"/>
    <w:qFormat/>
    <w:rPr>
      <w:b/>
      <w:i/>
      <w:sz w:val="24"/>
    </w:rPr>
  </w:style>
  <w:style w:type="character" w:customStyle="1" w:styleId="11">
    <w:name w:val="不明显强调1"/>
    <w:uiPriority w:val="19"/>
    <w:qFormat/>
    <w:rPr>
      <w:i/>
      <w:color w:val="595959" w:themeColor="text1" w:themeTint="A6"/>
    </w:rPr>
  </w:style>
  <w:style w:type="character" w:customStyle="1" w:styleId="12">
    <w:name w:val="明显强调1"/>
    <w:basedOn w:val="a0"/>
    <w:uiPriority w:val="21"/>
    <w:qFormat/>
    <w:rPr>
      <w:b/>
      <w:i/>
      <w:sz w:val="24"/>
      <w:szCs w:val="24"/>
      <w:u w:val="single"/>
    </w:rPr>
  </w:style>
  <w:style w:type="character" w:customStyle="1" w:styleId="13">
    <w:name w:val="不明显参考1"/>
    <w:basedOn w:val="a0"/>
    <w:uiPriority w:val="31"/>
    <w:qFormat/>
    <w:rPr>
      <w:sz w:val="24"/>
      <w:szCs w:val="24"/>
      <w:u w:val="single"/>
    </w:rPr>
  </w:style>
  <w:style w:type="character" w:customStyle="1" w:styleId="14">
    <w:name w:val="明显参考1"/>
    <w:basedOn w:val="a0"/>
    <w:uiPriority w:val="32"/>
    <w:qFormat/>
    <w:rPr>
      <w:b/>
      <w:sz w:val="24"/>
      <w:u w:val="single"/>
    </w:rPr>
  </w:style>
  <w:style w:type="character" w:customStyle="1" w:styleId="15">
    <w:name w:val="书籍标题1"/>
    <w:basedOn w:val="a0"/>
    <w:uiPriority w:val="33"/>
    <w:qFormat/>
    <w:rPr>
      <w:rFonts w:asciiTheme="majorHAnsi" w:eastAsiaTheme="majorEastAsia" w:hAnsiTheme="majorHAnsi"/>
      <w:b/>
      <w:i/>
      <w:sz w:val="24"/>
      <w:szCs w:val="24"/>
    </w:rPr>
  </w:style>
  <w:style w:type="paragraph" w:customStyle="1" w:styleId="TOC1">
    <w:name w:val="TOC 标题1"/>
    <w:basedOn w:val="1"/>
    <w:next w:val="a"/>
    <w:uiPriority w:val="39"/>
    <w:semiHidden/>
    <w:unhideWhenUsed/>
    <w:qFormat/>
    <w:pPr>
      <w:outlineLvl w:val="9"/>
    </w:pPr>
    <w:rPr>
      <w:lang w:eastAsia="en-US" w:bidi="en-US"/>
    </w:rPr>
  </w:style>
  <w:style w:type="character" w:customStyle="1" w:styleId="a8">
    <w:name w:val="页眉 字符"/>
    <w:basedOn w:val="a0"/>
    <w:link w:val="a7"/>
    <w:uiPriority w:val="99"/>
    <w:rPr>
      <w:rFonts w:ascii="Calibri" w:eastAsia="宋体" w:hAnsi="Calibri"/>
      <w:kern w:val="2"/>
      <w:sz w:val="18"/>
      <w:szCs w:val="18"/>
    </w:rPr>
  </w:style>
  <w:style w:type="character" w:customStyle="1" w:styleId="a6">
    <w:name w:val="页脚 字符"/>
    <w:basedOn w:val="a0"/>
    <w:link w:val="a5"/>
    <w:uiPriority w:val="99"/>
    <w:rPr>
      <w:rFonts w:ascii="Calibri" w:eastAsia="宋体" w:hAnsi="Calibri"/>
      <w:kern w:val="2"/>
      <w:sz w:val="18"/>
      <w:szCs w:val="18"/>
    </w:rPr>
  </w:style>
  <w:style w:type="character" w:customStyle="1" w:styleId="a4">
    <w:name w:val="批注框文本 字符"/>
    <w:basedOn w:val="a0"/>
    <w:link w:val="a3"/>
    <w:uiPriority w:val="99"/>
    <w:semiHidden/>
    <w:qFormat/>
    <w:rPr>
      <w:rFonts w:ascii="Times New Roman" w:eastAsia="宋体" w:hAnsi="Times New Roman"/>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no"?>
<Relationships xmlns="http://schemas.openxmlformats.org/package/2006/relationships">
<Relationship Id="rId1" Target="../customXml/item1.xml" Type="http://schemas.openxmlformats.org/officeDocument/2006/relationships/customXml"/>
<Relationship Id="rId2" Target="styles.xml" Type="http://schemas.openxmlformats.org/officeDocument/2006/relationships/styles"/>
<Relationship Id="rId3" Target="settings.xml" Type="http://schemas.openxmlformats.org/officeDocument/2006/relationships/settings"/>
<Relationship Id="rId4" Target="webSettings.xml" Type="http://schemas.openxmlformats.org/officeDocument/2006/relationships/webSettings"/>
<Relationship Id="rId5" Target="footnotes.xml" Type="http://schemas.openxmlformats.org/officeDocument/2006/relationships/footnotes"/>
<Relationship Id="rId6" Target="endnotes.xml" Type="http://schemas.openxmlformats.org/officeDocument/2006/relationships/endnotes"/>
<Relationship Id="rId7" Target="footer1.xml" Type="http://schemas.openxmlformats.org/officeDocument/2006/relationships/footer"/>
<Relationship Id="rId8" Target="fontTable.xml" Type="http://schemas.openxmlformats.org/officeDocument/2006/relationships/fontTable"/>
<Relationship Id="rId9" Target="theme/theme1.xml" Type="http://schemas.openxmlformats.org/officeDocument/2006/relationships/theme"/>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no"?>
<Relationships xmlns="http://schemas.openxmlformats.org/package/2006/relationships">
<Relationship Id="rId1" Target="itemProps1.xml" Type="http://schemas.openxmlformats.org/officeDocument/2006/relationships/customXmlProps"/>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104</Words>
  <Characters>598</Characters>
  <Application>Microsoft Office Word</Application>
  <DocSecurity>0</DocSecurity>
  <Lines>4</Lines>
  <Paragraphs>1</Paragraphs>
  <ScaleCrop>false</ScaleCrop>
  <Company>微软中国</Company>
  <LinksUpToDate>false</LinksUpToDate>
  <CharactersWithSpaces>701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2025-03-11T03:27:00Z</dcterms:created>
  <dc:creator>赵 恺（预算处）</dc:creator>
  <cp:lastModifiedBy>Administrator</cp:lastModifiedBy>
  <cp:lastPrinted>2018-12-31T10:56:00Z</cp:lastPrinted>
  <dcterms:modified xsi:type="dcterms:W3CDTF">2025-03-11T03:27:00Z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21EF0CDCB73D4B8D8FAC715995DB8275</vt:lpwstr>
  </property>
</Properties>
</file>