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尼勒克县退役军人事务局2024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bookmarkStart w:id="0" w:name="_GoBack"/>
      <w:bookmarkEnd w:id="0"/>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r>
        <w:br w:type="page"/>
      </w:r>
    </w:p>
    <w:p>
      <w:pPr>
        <w:spacing w:line="640" w:lineRule="exact"/>
        <w:jc w:val="center"/>
        <w:outlineLvl w:val="1"/>
      </w:pPr>
      <w:r>
        <w:rPr>
          <w:rFonts w:ascii="黑体" w:hAnsi="黑体" w:eastAsia="黑体"/>
          <w:sz w:val="32"/>
        </w:rPr>
        <w:t>第一部分 单位概况</w:t>
      </w:r>
    </w:p>
    <w:p>
      <w:pPr>
        <w:spacing w:line="640" w:lineRule="exact"/>
        <w:ind w:firstLine="640"/>
        <w:jc w:val="both"/>
        <w:outlineLvl w:val="2"/>
      </w:pPr>
      <w:r>
        <w:rPr>
          <w:rFonts w:ascii="黑体" w:hAnsi="黑体" w:eastAsia="黑体"/>
          <w:sz w:val="32"/>
        </w:rPr>
        <w:t>一、主要职能</w:t>
      </w:r>
    </w:p>
    <w:p>
      <w:pPr>
        <w:spacing w:line="580" w:lineRule="exact"/>
        <w:ind w:firstLine="640"/>
        <w:jc w:val="both"/>
      </w:pPr>
      <w:r>
        <w:rPr>
          <w:rFonts w:ascii="仿宋_GB2312" w:hAnsi="仿宋_GB2312" w:eastAsia="仿宋_GB2312"/>
          <w:sz w:val="32"/>
        </w:rPr>
        <w:t>县退役军人事务局贯彻落实党中央关于退役军人工作的方针政策和决策部署以及自治区党委、自治州党委、县委工作要求，在履行职责的过程中坚持和加强党对退役军人工作的集中统一领导。</w:t>
      </w:r>
    </w:p>
    <w:p>
      <w:pPr>
        <w:spacing w:line="580" w:lineRule="exact"/>
        <w:ind w:firstLine="640"/>
        <w:jc w:val="both"/>
      </w:pPr>
      <w:r>
        <w:rPr>
          <w:rFonts w:ascii="仿宋_GB2312" w:hAnsi="仿宋_GB2312" w:eastAsia="仿宋_GB2312"/>
          <w:sz w:val="32"/>
        </w:rPr>
        <w:t>（一）贯彻执行国家、自治区、自治州退役军人思想政治、管理保障和安置等工作的政策、法规，褒扬彰显退役军人为党、国家和人民牺牲奉献的精神风范和价值导向，发挥退役军人在社会稳定和长治久安总目标中的作用。</w:t>
      </w:r>
    </w:p>
    <w:p>
      <w:pPr>
        <w:spacing w:line="580" w:lineRule="exact"/>
        <w:ind w:firstLine="640"/>
        <w:jc w:val="both"/>
      </w:pPr>
      <w:r>
        <w:rPr>
          <w:rFonts w:ascii="仿宋_GB2312" w:hAnsi="仿宋_GB2312" w:eastAsia="仿宋_GB2312"/>
          <w:sz w:val="32"/>
        </w:rPr>
        <w:t>（二）负责军队转业干部、复员干部、离退休干部、退役士兵和无军籍退休退职职工的移交安置工作和自主择业、就业退役军人服务管理工作。落实退役军人留疆安置优惠优待政策。促进退役军人留在新疆，奉献基层，配合做好招录退役士兵留疆安置工作。</w:t>
      </w:r>
    </w:p>
    <w:p>
      <w:pPr>
        <w:spacing w:line="580" w:lineRule="exact"/>
        <w:ind w:firstLine="640"/>
        <w:jc w:val="both"/>
      </w:pPr>
      <w:r>
        <w:rPr>
          <w:rFonts w:ascii="仿宋_GB2312" w:hAnsi="仿宋_GB2312" w:eastAsia="仿宋_GB2312"/>
          <w:sz w:val="32"/>
        </w:rPr>
        <w:t>（三）组织指导退役军人教育培训工作，协调扶持退役军人和随军随调家属就业创业。</w:t>
      </w:r>
    </w:p>
    <w:p>
      <w:pPr>
        <w:spacing w:line="580" w:lineRule="exact"/>
        <w:ind w:firstLine="640"/>
        <w:jc w:val="both"/>
      </w:pPr>
      <w:r>
        <w:rPr>
          <w:rFonts w:ascii="仿宋_GB2312" w:hAnsi="仿宋_GB2312" w:eastAsia="仿宋_GB2312"/>
          <w:sz w:val="32"/>
        </w:rPr>
        <w:t>（四）会同有关部门执行落实国家、自治区、自治州退役军人特殊保障政策。</w:t>
      </w:r>
    </w:p>
    <w:p>
      <w:pPr>
        <w:spacing w:line="580" w:lineRule="exact"/>
        <w:ind w:firstLine="640"/>
        <w:jc w:val="both"/>
      </w:pPr>
      <w:r>
        <w:rPr>
          <w:rFonts w:ascii="仿宋_GB2312" w:hAnsi="仿宋_GB2312" w:eastAsia="仿宋_GB2312"/>
          <w:sz w:val="32"/>
        </w:rPr>
        <w:t>（五）组织落实移交地方的离休退休军人、符合条件的其他退役军人和无军籍退休退职职工的住房保障，以及退役军人医疗保障、社会保险等待遇保障工作。</w:t>
      </w:r>
    </w:p>
    <w:p>
      <w:pPr>
        <w:spacing w:line="580" w:lineRule="exact"/>
        <w:ind w:firstLine="640"/>
        <w:jc w:val="both"/>
      </w:pPr>
      <w:r>
        <w:rPr>
          <w:rFonts w:ascii="仿宋_GB2312" w:hAnsi="仿宋_GB2312" w:eastAsia="仿宋_GB2312"/>
          <w:sz w:val="32"/>
        </w:rPr>
        <w:t>（六）组织指导伤病残退役军人服务管理和抚恤工作，落实有关退役军人医疗、疗养、养老等机构的规划政策并指导实施。承担不适宜继续服役的伤病残军人相关工作。指导军供服务保障工作。</w:t>
      </w:r>
    </w:p>
    <w:p>
      <w:pPr>
        <w:spacing w:line="580" w:lineRule="exact"/>
        <w:ind w:firstLine="640"/>
        <w:jc w:val="both"/>
      </w:pPr>
      <w:r>
        <w:rPr>
          <w:rFonts w:ascii="仿宋_GB2312" w:hAnsi="仿宋_GB2312" w:eastAsia="仿宋_GB2312"/>
          <w:sz w:val="32"/>
        </w:rPr>
        <w:t>（七）组织指导拥军优属工作。负责现役军人、退役军人、军队文职人员和军属优待、抚恤等工作，落实国民党抗战老兵和有关人员优待政策并指导实施。</w:t>
      </w:r>
    </w:p>
    <w:p>
      <w:pPr>
        <w:spacing w:line="580" w:lineRule="exact"/>
        <w:ind w:firstLine="640"/>
        <w:jc w:val="both"/>
      </w:pPr>
      <w:r>
        <w:rPr>
          <w:rFonts w:ascii="仿宋_GB2312" w:hAnsi="仿宋_GB2312" w:eastAsia="仿宋_GB2312"/>
          <w:sz w:val="32"/>
        </w:rPr>
        <w:t>（八）负责烈士及退役军人荣誉奖励、军人公墓管理维护、纪念活动等工作。依法承担英雄烈士保护相关工作。审核拟列入全国和自治区及自治州重点保护单位的烈士纪念建筑物名录。总结表彰和宣扬退役军人、退役军人工作单位和个人先进典型事迹。</w:t>
      </w:r>
    </w:p>
    <w:p>
      <w:pPr>
        <w:spacing w:line="580" w:lineRule="exact"/>
        <w:ind w:firstLine="640"/>
        <w:jc w:val="both"/>
      </w:pPr>
      <w:r>
        <w:rPr>
          <w:rFonts w:ascii="仿宋_GB2312" w:hAnsi="仿宋_GB2312" w:eastAsia="仿宋_GB2312"/>
          <w:sz w:val="32"/>
        </w:rPr>
        <w:t>（九）指导并监督检查退役军人相关法律法规和政策措施的落实。组织指导退役军人权益维护和落实有关人员的帮扶援助工作。</w:t>
      </w:r>
    </w:p>
    <w:p>
      <w:pPr>
        <w:spacing w:line="580" w:lineRule="exact"/>
        <w:ind w:firstLine="640"/>
        <w:jc w:val="both"/>
      </w:pPr>
      <w:r>
        <w:rPr>
          <w:rFonts w:ascii="仿宋_GB2312" w:hAnsi="仿宋_GB2312" w:eastAsia="仿宋_GB2312"/>
          <w:sz w:val="32"/>
        </w:rPr>
        <w:t>（十）完成县委、县人民政府交办的其他任务。</w:t>
      </w:r>
    </w:p>
    <w:p>
      <w:pPr>
        <w:spacing w:line="640" w:lineRule="exact"/>
        <w:ind w:firstLine="640"/>
        <w:jc w:val="both"/>
        <w:outlineLvl w:val="2"/>
      </w:pPr>
      <w:r>
        <w:rPr>
          <w:rFonts w:ascii="黑体" w:hAnsi="黑体" w:eastAsia="黑体"/>
          <w:sz w:val="32"/>
        </w:rPr>
        <w:t>二、机构设置及人员情况</w:t>
      </w:r>
    </w:p>
    <w:p>
      <w:pPr>
        <w:spacing w:line="580" w:lineRule="exact"/>
        <w:ind w:firstLine="640"/>
        <w:jc w:val="both"/>
      </w:pPr>
      <w:r>
        <w:rPr>
          <w:rFonts w:ascii="仿宋_GB2312" w:hAnsi="仿宋_GB2312" w:eastAsia="仿宋_GB2312"/>
          <w:sz w:val="32"/>
        </w:rPr>
        <w:t>尼勒克县退役军人事务局2024年度，实有人数15人，其中：在职人员13人，增加1人；离休人员0人，增加0人；退休人员2人,增加0人。</w:t>
      </w:r>
    </w:p>
    <w:p>
      <w:pPr>
        <w:spacing w:line="580" w:lineRule="exact"/>
        <w:ind w:firstLine="640"/>
        <w:jc w:val="both"/>
      </w:pPr>
      <w:r>
        <w:rPr>
          <w:rFonts w:ascii="仿宋_GB2312" w:hAnsi="仿宋_GB2312" w:eastAsia="仿宋_GB2312"/>
          <w:sz w:val="32"/>
        </w:rPr>
        <w:t>尼勒克县退役军人事务局无下属预算单位，下设1个科室，分别是：退役军人事服务中心办公室。</w:t>
      </w:r>
    </w:p>
    <w:p>
      <w:r>
        <w:br w:type="page"/>
      </w:r>
    </w:p>
    <w:p>
      <w:pPr>
        <w:spacing w:line="240" w:lineRule="auto"/>
        <w:jc w:val="center"/>
        <w:outlineLvl w:val="1"/>
      </w:pPr>
      <w:r>
        <w:rPr>
          <w:rFonts w:ascii="黑体" w:hAnsi="黑体" w:eastAsia="黑体"/>
          <w:sz w:val="32"/>
        </w:rPr>
        <w:t>第二部分 部门决算情况说明</w:t>
      </w:r>
    </w:p>
    <w:p>
      <w:pPr>
        <w:spacing w:line="640" w:lineRule="exact"/>
        <w:ind w:firstLine="640"/>
        <w:jc w:val="both"/>
        <w:outlineLvl w:val="2"/>
      </w:pPr>
      <w:r>
        <w:rPr>
          <w:rFonts w:ascii="黑体" w:hAnsi="黑体" w:eastAsia="黑体"/>
          <w:sz w:val="32"/>
        </w:rPr>
        <w:t>一、收入支出决算总体情况说明</w:t>
      </w:r>
    </w:p>
    <w:p>
      <w:pPr>
        <w:spacing w:line="580" w:lineRule="exact"/>
        <w:ind w:firstLine="640"/>
        <w:jc w:val="both"/>
      </w:pPr>
      <w:r>
        <w:rPr>
          <w:rFonts w:ascii="仿宋_GB2312" w:hAnsi="仿宋_GB2312" w:eastAsia="仿宋_GB2312"/>
          <w:b/>
          <w:sz w:val="32"/>
        </w:rPr>
        <w:t>2024年度收入总计1,173.95万元，</w:t>
      </w:r>
      <w:r>
        <w:rPr>
          <w:rFonts w:ascii="仿宋_GB2312" w:hAnsi="仿宋_GB2312" w:eastAsia="仿宋_GB2312"/>
          <w:b w:val="0"/>
          <w:sz w:val="32"/>
        </w:rPr>
        <w:t>其中：本年收入合计1,173.95万元，使用非财政拨款结余（含专用结余）0.00万元，年初结转和结余0.00万元。</w:t>
      </w:r>
    </w:p>
    <w:p>
      <w:pPr>
        <w:spacing w:line="580" w:lineRule="exact"/>
        <w:ind w:firstLine="640"/>
        <w:jc w:val="both"/>
      </w:pPr>
      <w:r>
        <w:rPr>
          <w:rFonts w:ascii="仿宋_GB2312" w:hAnsi="仿宋_GB2312" w:eastAsia="仿宋_GB2312"/>
          <w:b/>
          <w:sz w:val="32"/>
        </w:rPr>
        <w:t>2024年度支出总计1,173.95万元，</w:t>
      </w:r>
      <w:r>
        <w:rPr>
          <w:rFonts w:ascii="仿宋_GB2312" w:hAnsi="仿宋_GB2312" w:eastAsia="仿宋_GB2312"/>
          <w:b w:val="0"/>
          <w:sz w:val="32"/>
        </w:rPr>
        <w:t>其中：本年支出合计1,173.95万元，结余分配0.00万元，年末结转和结余0.00万元。</w:t>
      </w:r>
    </w:p>
    <w:p>
      <w:pPr>
        <w:spacing w:line="580" w:lineRule="exact"/>
        <w:ind w:firstLine="640"/>
        <w:jc w:val="both"/>
      </w:pPr>
      <w:r>
        <w:rPr>
          <w:rFonts w:ascii="仿宋_GB2312" w:hAnsi="仿宋_GB2312" w:eastAsia="仿宋_GB2312"/>
          <w:b w:val="0"/>
          <w:sz w:val="32"/>
        </w:rPr>
        <w:t>收入支出总体与上年相比，</w:t>
      </w:r>
      <w:r>
        <w:rPr>
          <w:rFonts w:ascii="仿宋_GB2312" w:hAnsi="仿宋_GB2312" w:eastAsia="仿宋_GB2312"/>
          <w:b w:val="0"/>
          <w:sz w:val="32"/>
        </w:rPr>
        <w:t>减少820.42万元，下降41.14%，主要原因是：本年减少乔尔玛烈士陵园建设项目。</w:t>
      </w:r>
    </w:p>
    <w:p>
      <w:pPr>
        <w:spacing w:line="640" w:lineRule="exact"/>
        <w:ind w:firstLine="640"/>
        <w:jc w:val="both"/>
        <w:outlineLvl w:val="2"/>
      </w:pPr>
      <w:r>
        <w:rPr>
          <w:rFonts w:ascii="黑体" w:hAnsi="黑体" w:eastAsia="黑体"/>
          <w:sz w:val="32"/>
        </w:rPr>
        <w:t>二、收入决算情况说明</w:t>
      </w:r>
    </w:p>
    <w:p>
      <w:pPr>
        <w:spacing w:line="580" w:lineRule="exact"/>
        <w:ind w:firstLine="640"/>
        <w:jc w:val="both"/>
      </w:pPr>
      <w:r>
        <w:rPr>
          <w:rFonts w:ascii="仿宋_GB2312" w:hAnsi="仿宋_GB2312" w:eastAsia="仿宋_GB2312"/>
          <w:b/>
          <w:sz w:val="32"/>
        </w:rPr>
        <w:t>本年收入1,173.95万元，</w:t>
      </w:r>
      <w:r>
        <w:rPr>
          <w:rFonts w:ascii="仿宋_GB2312" w:hAnsi="仿宋_GB2312" w:eastAsia="仿宋_GB2312"/>
          <w:b w:val="0"/>
          <w:sz w:val="32"/>
        </w:rPr>
        <w:t>其中：财政拨款收入1,173.95万元，占100.00%；上级补助收入0.00万元，占0.00%；事业收入0.00万元，占0.00%；经营收入0.00万元，占0.00%；附属单位上缴收入0.00万元，占0.00%；其他收入0.00万元，占0.00%。</w:t>
      </w:r>
    </w:p>
    <w:p>
      <w:pPr>
        <w:spacing w:line="640" w:lineRule="exact"/>
        <w:ind w:firstLine="640"/>
        <w:jc w:val="both"/>
        <w:outlineLvl w:val="2"/>
      </w:pPr>
      <w:r>
        <w:rPr>
          <w:rFonts w:ascii="黑体" w:hAnsi="黑体" w:eastAsia="黑体"/>
          <w:sz w:val="32"/>
        </w:rPr>
        <w:t>三、支出决算情况说明</w:t>
      </w:r>
    </w:p>
    <w:p>
      <w:pPr>
        <w:spacing w:line="580" w:lineRule="exact"/>
        <w:ind w:firstLine="640"/>
        <w:jc w:val="both"/>
      </w:pPr>
      <w:r>
        <w:rPr>
          <w:rFonts w:ascii="仿宋_GB2312" w:hAnsi="仿宋_GB2312" w:eastAsia="仿宋_GB2312"/>
          <w:b/>
          <w:sz w:val="32"/>
        </w:rPr>
        <w:t>本年支出1,173.95万元，</w:t>
      </w:r>
      <w:r>
        <w:rPr>
          <w:rFonts w:ascii="仿宋_GB2312" w:hAnsi="仿宋_GB2312" w:eastAsia="仿宋_GB2312"/>
          <w:b w:val="0"/>
          <w:sz w:val="32"/>
        </w:rPr>
        <w:t>其中：基本支出193.09万元，占16.45%；项目支出980.86万元，占83.55%；上缴上级支出0.00万元，占0.00%；经营支出0.00万元，占0.00%；对附属单位补助支出0.00万元，占0.00%。</w:t>
      </w:r>
    </w:p>
    <w:p>
      <w:pPr>
        <w:spacing w:line="640" w:lineRule="exact"/>
        <w:ind w:firstLine="640"/>
        <w:jc w:val="both"/>
        <w:outlineLvl w:val="2"/>
      </w:pPr>
      <w:r>
        <w:rPr>
          <w:rFonts w:ascii="黑体" w:hAnsi="黑体" w:eastAsia="黑体"/>
          <w:sz w:val="32"/>
        </w:rPr>
        <w:t>四、财政拨款收入支出决算总体情况说明</w:t>
      </w:r>
    </w:p>
    <w:p>
      <w:pPr>
        <w:spacing w:line="580" w:lineRule="exact"/>
        <w:ind w:firstLine="640"/>
        <w:jc w:val="both"/>
      </w:pPr>
      <w:r>
        <w:rPr>
          <w:rFonts w:ascii="仿宋_GB2312" w:hAnsi="仿宋_GB2312" w:eastAsia="仿宋_GB2312"/>
          <w:b/>
          <w:sz w:val="32"/>
        </w:rPr>
        <w:t>2024年度财政拨款收入总计1,173.95万元，</w:t>
      </w:r>
      <w:r>
        <w:rPr>
          <w:rFonts w:ascii="仿宋_GB2312" w:hAnsi="仿宋_GB2312" w:eastAsia="仿宋_GB2312"/>
          <w:b w:val="0"/>
          <w:sz w:val="32"/>
        </w:rPr>
        <w:t>其中：年初财政拨款结转和结余0.00万元，本年财政拨款收入1,173.95万元。</w:t>
      </w:r>
      <w:r>
        <w:rPr>
          <w:rFonts w:ascii="仿宋_GB2312" w:hAnsi="仿宋_GB2312" w:eastAsia="仿宋_GB2312"/>
          <w:b/>
          <w:sz w:val="32"/>
        </w:rPr>
        <w:t>财政拨款支出总计1,173.95万元，</w:t>
      </w:r>
      <w:r>
        <w:rPr>
          <w:rFonts w:ascii="仿宋_GB2312" w:hAnsi="仿宋_GB2312" w:eastAsia="仿宋_GB2312"/>
          <w:b w:val="0"/>
          <w:sz w:val="32"/>
        </w:rPr>
        <w:t>其中：年末财政拨款结转和结余0.00万元，本年财政拨款支出1,173.95万元。</w:t>
      </w:r>
    </w:p>
    <w:p>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减少805.41万元，下降40.69%，主要原因是：本年减少乔尔玛烈士陵园建设项目。</w:t>
      </w:r>
      <w:r>
        <w:rPr>
          <w:rFonts w:ascii="仿宋_GB2312" w:hAnsi="仿宋_GB2312" w:eastAsia="仿宋_GB2312"/>
          <w:b/>
          <w:sz w:val="32"/>
        </w:rPr>
        <w:t>与年初预算相比，</w:t>
      </w:r>
      <w:r>
        <w:rPr>
          <w:rFonts w:ascii="仿宋_GB2312" w:hAnsi="仿宋_GB2312" w:eastAsia="仿宋_GB2312"/>
          <w:b w:val="0"/>
          <w:sz w:val="32"/>
        </w:rPr>
        <w:t>年初预算数1,422.31万元，决算数1,173.95万元，预决算差异率-17.46%，主要原因是：本年年中调减乔尔玛烈士陵园建设项目经费，导致预决算存在差异。</w:t>
      </w:r>
    </w:p>
    <w:p>
      <w:pPr>
        <w:spacing w:line="640" w:lineRule="exact"/>
        <w:ind w:firstLine="640"/>
        <w:jc w:val="both"/>
        <w:outlineLvl w:val="2"/>
      </w:pPr>
      <w:r>
        <w:rPr>
          <w:rFonts w:ascii="黑体" w:hAnsi="黑体" w:eastAsia="黑体"/>
          <w:sz w:val="32"/>
        </w:rPr>
        <w:t>五、一般公共预算财政拨款支出决算情况说明</w:t>
      </w:r>
    </w:p>
    <w:p>
      <w:pPr>
        <w:spacing w:line="640" w:lineRule="exact"/>
        <w:ind w:firstLine="640"/>
        <w:jc w:val="both"/>
        <w:outlineLvl w:val="3"/>
      </w:pPr>
      <w:r>
        <w:rPr>
          <w:rFonts w:ascii="楷体_GB2312" w:hAnsi="楷体_GB2312" w:eastAsia="楷体_GB2312"/>
          <w:b/>
          <w:sz w:val="32"/>
        </w:rPr>
        <w:t>（一）一般公共预算财政拨款支出决算总体情况</w:t>
      </w:r>
    </w:p>
    <w:p>
      <w:pPr>
        <w:spacing w:line="580" w:lineRule="exact"/>
        <w:ind w:firstLine="640"/>
        <w:jc w:val="both"/>
      </w:pPr>
      <w:r>
        <w:rPr>
          <w:rFonts w:ascii="仿宋_GB2312" w:hAnsi="仿宋_GB2312" w:eastAsia="仿宋_GB2312"/>
          <w:b/>
          <w:sz w:val="32"/>
        </w:rPr>
        <w:t>2024年度一般公共预算财政拨款支出1,173.95万元，</w:t>
      </w:r>
      <w:r>
        <w:rPr>
          <w:rFonts w:ascii="仿宋_GB2312" w:hAnsi="仿宋_GB2312" w:eastAsia="仿宋_GB2312"/>
          <w:b w:val="0"/>
          <w:sz w:val="32"/>
        </w:rPr>
        <w:t>占本年支出合计的100.00%。</w:t>
      </w:r>
      <w:r>
        <w:rPr>
          <w:rFonts w:ascii="仿宋_GB2312" w:hAnsi="仿宋_GB2312" w:eastAsia="仿宋_GB2312"/>
          <w:b/>
          <w:sz w:val="32"/>
        </w:rPr>
        <w:t>与上年相比，</w:t>
      </w:r>
      <w:r>
        <w:rPr>
          <w:rFonts w:ascii="仿宋_GB2312" w:hAnsi="仿宋_GB2312" w:eastAsia="仿宋_GB2312"/>
          <w:b w:val="0"/>
          <w:sz w:val="32"/>
        </w:rPr>
        <w:t>减少805.41万元，下降40.69%，主要原因是：本年减少乔尔玛烈士陵园建设项目。</w:t>
      </w:r>
      <w:r>
        <w:rPr>
          <w:rFonts w:ascii="仿宋_GB2312" w:hAnsi="仿宋_GB2312" w:eastAsia="仿宋_GB2312"/>
          <w:b/>
          <w:sz w:val="32"/>
        </w:rPr>
        <w:t>与年初预算相比,</w:t>
      </w:r>
      <w:r>
        <w:rPr>
          <w:rFonts w:ascii="仿宋_GB2312" w:hAnsi="仿宋_GB2312" w:eastAsia="仿宋_GB2312"/>
          <w:b w:val="0"/>
          <w:sz w:val="32"/>
        </w:rPr>
        <w:t>年初预算数1,422.31万元，决算数1,173.95万元，预决算差异率-17.46%，主要原因是：本年年中调减乔尔玛烈士陵园建设项目经费，导致预决算存在差异。</w:t>
      </w:r>
    </w:p>
    <w:p>
      <w:pPr>
        <w:spacing w:line="640" w:lineRule="exact"/>
        <w:ind w:firstLine="640"/>
        <w:jc w:val="both"/>
        <w:outlineLvl w:val="3"/>
      </w:pPr>
      <w:r>
        <w:rPr>
          <w:rFonts w:ascii="楷体_GB2312" w:hAnsi="楷体_GB2312" w:eastAsia="楷体_GB2312"/>
          <w:b/>
          <w:sz w:val="32"/>
        </w:rPr>
        <w:t>（二）一般公共预算财政拨款支出决算结构情况</w:t>
      </w:r>
    </w:p>
    <w:p>
      <w:pPr>
        <w:spacing w:line="580" w:lineRule="exact"/>
        <w:ind w:firstLine="640"/>
        <w:jc w:val="both"/>
      </w:pPr>
      <w:r>
        <w:rPr>
          <w:rFonts w:ascii="仿宋_GB2312" w:hAnsi="仿宋_GB2312" w:eastAsia="仿宋_GB2312"/>
          <w:b w:val="0"/>
          <w:sz w:val="32"/>
        </w:rPr>
        <w:t>1.社会保障和就业支出(类)1,147.75万元,占97.77%。</w:t>
      </w:r>
    </w:p>
    <w:p>
      <w:pPr>
        <w:spacing w:line="580" w:lineRule="exact"/>
        <w:ind w:firstLine="640"/>
        <w:jc w:val="both"/>
      </w:pPr>
      <w:r>
        <w:rPr>
          <w:rFonts w:ascii="仿宋_GB2312" w:hAnsi="仿宋_GB2312" w:eastAsia="仿宋_GB2312"/>
          <w:b w:val="0"/>
          <w:sz w:val="32"/>
        </w:rPr>
        <w:t>2.卫生健康支出(类)10.84万元,占0.92%。</w:t>
      </w:r>
    </w:p>
    <w:p>
      <w:pPr>
        <w:spacing w:line="580" w:lineRule="exact"/>
        <w:ind w:firstLine="640"/>
        <w:jc w:val="both"/>
      </w:pPr>
      <w:r>
        <w:rPr>
          <w:rFonts w:ascii="仿宋_GB2312" w:hAnsi="仿宋_GB2312" w:eastAsia="仿宋_GB2312"/>
          <w:b w:val="0"/>
          <w:sz w:val="32"/>
        </w:rPr>
        <w:t>3.住房保障支出(类)15.36万元,占1.31%。</w:t>
      </w:r>
    </w:p>
    <w:p>
      <w:pPr>
        <w:spacing w:line="640" w:lineRule="exact"/>
        <w:ind w:firstLine="640"/>
        <w:jc w:val="both"/>
        <w:outlineLvl w:val="3"/>
      </w:pPr>
      <w:r>
        <w:rPr>
          <w:rFonts w:ascii="楷体_GB2312" w:hAnsi="楷体_GB2312" w:eastAsia="楷体_GB2312"/>
          <w:b/>
          <w:sz w:val="32"/>
        </w:rPr>
        <w:t>（三）一般公共预算财政拨款支出决算具体情况</w:t>
      </w:r>
    </w:p>
    <w:p>
      <w:pPr>
        <w:spacing w:line="580" w:lineRule="exact"/>
        <w:ind w:firstLine="640"/>
        <w:jc w:val="both"/>
      </w:pPr>
      <w:r>
        <w:rPr>
          <w:rFonts w:ascii="仿宋_GB2312" w:hAnsi="仿宋_GB2312" w:eastAsia="仿宋_GB2312"/>
          <w:b w:val="0"/>
          <w:sz w:val="32"/>
        </w:rPr>
        <w:t>1.社会保障和就业支出(类)行政事业单位养老支出(款)行政单位离退休(项):支出决算数为0.84万元，比上年决算增加0.00万元，增长0.00%,主要原因是：本年退休人员经费支出较上年无变化。</w:t>
      </w:r>
    </w:p>
    <w:p>
      <w:pPr>
        <w:spacing w:line="580" w:lineRule="exact"/>
        <w:ind w:firstLine="640"/>
        <w:jc w:val="both"/>
      </w:pPr>
      <w:r>
        <w:rPr>
          <w:rFonts w:ascii="仿宋_GB2312" w:hAnsi="仿宋_GB2312" w:eastAsia="仿宋_GB2312"/>
          <w:b w:val="0"/>
          <w:sz w:val="32"/>
        </w:rPr>
        <w:t>2.社会保障和就业支出(类)行政事业单位养老支出(款)事业单位离退休(项):支出决算数为0.66万元，比上年决算增加0.42万元，增长175.00%,主要原因是：本年退休人员基础绩效奖增加。</w:t>
      </w:r>
    </w:p>
    <w:p>
      <w:pPr>
        <w:spacing w:line="580" w:lineRule="exact"/>
        <w:ind w:firstLine="640"/>
        <w:jc w:val="both"/>
      </w:pPr>
      <w:r>
        <w:rPr>
          <w:rFonts w:ascii="仿宋_GB2312" w:hAnsi="仿宋_GB2312" w:eastAsia="仿宋_GB2312"/>
          <w:b w:val="0"/>
          <w:sz w:val="32"/>
        </w:rPr>
        <w:t>3.社会保障和就业支出(类)行政事业单位养老支出(款)机关事业单位基本养老保险缴费支出(项):支出决算数为19.10万元，比上年决算减少0.45万元，下降2.30%,主要原因是：本年在职人员调入调出，人员职级不同，缴费基数不同，导致养老保险缴费较上年减少。</w:t>
      </w:r>
    </w:p>
    <w:p>
      <w:pPr>
        <w:spacing w:line="580" w:lineRule="exact"/>
        <w:ind w:firstLine="640"/>
        <w:jc w:val="both"/>
      </w:pPr>
      <w:r>
        <w:rPr>
          <w:rFonts w:ascii="仿宋_GB2312" w:hAnsi="仿宋_GB2312" w:eastAsia="仿宋_GB2312"/>
          <w:b w:val="0"/>
          <w:sz w:val="32"/>
        </w:rPr>
        <w:t>4.社会保障和就业支出(类)抚恤(款)死亡抚恤(项):支出决算数为36.60万元，比上年决算增加36.60万元，增长100.00%,主要原因是：本年新增死亡人员，死亡抚恤支出增加。</w:t>
      </w:r>
    </w:p>
    <w:p>
      <w:pPr>
        <w:spacing w:line="580" w:lineRule="exact"/>
        <w:ind w:firstLine="640"/>
        <w:jc w:val="both"/>
      </w:pPr>
      <w:r>
        <w:rPr>
          <w:rFonts w:ascii="仿宋_GB2312" w:hAnsi="仿宋_GB2312" w:eastAsia="仿宋_GB2312"/>
          <w:b w:val="0"/>
          <w:sz w:val="32"/>
        </w:rPr>
        <w:t>5.社会保障和就业支出(类)抚恤(款)伤残抚恤(项):支出决算数为0.00万元，比上年决算减少386.02万元，下降100.00%,主要原因是：本年功能科目调整，补助对象经费由伤残抚恤调至在乡复员、退伍军人生活补助，经费减少。</w:t>
      </w:r>
    </w:p>
    <w:p>
      <w:pPr>
        <w:spacing w:line="580" w:lineRule="exact"/>
        <w:ind w:firstLine="640"/>
        <w:jc w:val="both"/>
      </w:pPr>
      <w:r>
        <w:rPr>
          <w:rFonts w:ascii="仿宋_GB2312" w:hAnsi="仿宋_GB2312" w:eastAsia="仿宋_GB2312"/>
          <w:b w:val="0"/>
          <w:sz w:val="32"/>
        </w:rPr>
        <w:t>6.社会保障和就业支出(类)抚恤(款)在乡复员、退伍军人生活补助(项):支出决算数为433.57万元，比上年决算增加431.27万元，增长18,750.87%,主要原因是：本年功能科目调整，补助对象经费由伤残抚恤调至在乡复员、退伍军人生活补助，经费减少。</w:t>
      </w:r>
    </w:p>
    <w:p>
      <w:pPr>
        <w:spacing w:line="580" w:lineRule="exact"/>
        <w:ind w:firstLine="640"/>
        <w:jc w:val="both"/>
      </w:pPr>
      <w:r>
        <w:rPr>
          <w:rFonts w:ascii="仿宋_GB2312" w:hAnsi="仿宋_GB2312" w:eastAsia="仿宋_GB2312"/>
          <w:b w:val="0"/>
          <w:sz w:val="32"/>
        </w:rPr>
        <w:t>7.社会保障和就业支出(类)抚恤(款)义务兵优待(项):支出决算数为148.61万元，比上年决算减少24.94万元，下降14.37%,主要原因是：上年补发了2022年义务兵优待金，本年正常发放，导致本年经费支出减少。</w:t>
      </w:r>
    </w:p>
    <w:p>
      <w:pPr>
        <w:spacing w:line="580" w:lineRule="exact"/>
        <w:ind w:firstLine="640"/>
        <w:jc w:val="both"/>
      </w:pPr>
      <w:r>
        <w:rPr>
          <w:rFonts w:ascii="仿宋_GB2312" w:hAnsi="仿宋_GB2312" w:eastAsia="仿宋_GB2312"/>
          <w:b w:val="0"/>
          <w:sz w:val="32"/>
        </w:rPr>
        <w:t>8.社会保障和就业支出(类)抚恤(款)烈士纪念设施管理维护(项):支出决算数为0.00万元，比上年决算减少673.30万元，下降100.00%,主要原因是：本年减少乔尔玛烈士陵园基本建设类项目资金。</w:t>
      </w:r>
    </w:p>
    <w:p>
      <w:pPr>
        <w:spacing w:line="580" w:lineRule="exact"/>
        <w:ind w:firstLine="640"/>
        <w:jc w:val="both"/>
      </w:pPr>
      <w:r>
        <w:rPr>
          <w:rFonts w:ascii="仿宋_GB2312" w:hAnsi="仿宋_GB2312" w:eastAsia="仿宋_GB2312"/>
          <w:b w:val="0"/>
          <w:sz w:val="32"/>
        </w:rPr>
        <w:t>9.社会保障和就业支出(类)退役安置(款)退役士兵安置(项):支出决算数为0.72万元，比上年决算减少472.83万元，下降99.85%,主要原因是：本年功能科目调整，退役士兵安置经费由退役士兵安置科目调整至军队移交政府的离退休人员安置和退役士兵管理教育科目，故资金减少。</w:t>
      </w:r>
    </w:p>
    <w:p>
      <w:pPr>
        <w:spacing w:line="580" w:lineRule="exact"/>
        <w:ind w:firstLine="640"/>
        <w:jc w:val="both"/>
      </w:pPr>
      <w:r>
        <w:rPr>
          <w:rFonts w:ascii="仿宋_GB2312" w:hAnsi="仿宋_GB2312" w:eastAsia="仿宋_GB2312"/>
          <w:b w:val="0"/>
          <w:sz w:val="32"/>
        </w:rPr>
        <w:t>10.社会保障和就业支出(类)退役安置(款)军队移交政府的离退休人员安置(项):支出决算数为42.56万元，比上年决算增加42.56万元，增长100.00%,主要原因是：本年功能科目调整，退役士兵安置经费由退役士兵安置科目调整至军队移交政府的离退休人员安置和退役士兵管理教育科目，故资金增加。</w:t>
      </w:r>
    </w:p>
    <w:p>
      <w:pPr>
        <w:spacing w:line="580" w:lineRule="exact"/>
        <w:ind w:firstLine="640"/>
        <w:jc w:val="both"/>
      </w:pPr>
      <w:r>
        <w:rPr>
          <w:rFonts w:ascii="仿宋_GB2312" w:hAnsi="仿宋_GB2312" w:eastAsia="仿宋_GB2312"/>
          <w:b w:val="0"/>
          <w:sz w:val="32"/>
        </w:rPr>
        <w:t>11.社会保障和就业支出(类)退役安置(款)退役士兵管理教育(项):支出决算数为1.85万元，比上年决算增加1.85万元，增长100.00%,主要原因是：本年功能科目调整，退役士兵安置经费由退役士兵安置科目调整至军队移交政府的离退休人员安置和退役士兵管理教育科目，故资金增加。</w:t>
      </w:r>
    </w:p>
    <w:p>
      <w:pPr>
        <w:spacing w:line="580" w:lineRule="exact"/>
        <w:ind w:firstLine="640"/>
        <w:jc w:val="both"/>
      </w:pPr>
      <w:r>
        <w:rPr>
          <w:rFonts w:ascii="仿宋_GB2312" w:hAnsi="仿宋_GB2312" w:eastAsia="仿宋_GB2312"/>
          <w:b w:val="0"/>
          <w:sz w:val="32"/>
        </w:rPr>
        <w:t>12.社会保障和就业支出(类)退役安置(款)军队转业干部安置(项):支出决算数为154.25万元，比上年决算增加130.20万元，增长541.37%,主要原因是：本年增加军队转业干部安置项目资金。</w:t>
      </w:r>
    </w:p>
    <w:p>
      <w:pPr>
        <w:spacing w:line="580" w:lineRule="exact"/>
        <w:ind w:firstLine="640"/>
        <w:jc w:val="both"/>
      </w:pPr>
      <w:r>
        <w:rPr>
          <w:rFonts w:ascii="仿宋_GB2312" w:hAnsi="仿宋_GB2312" w:eastAsia="仿宋_GB2312"/>
          <w:b w:val="0"/>
          <w:sz w:val="32"/>
        </w:rPr>
        <w:t>13.社会保障和就业支出(类)退役安置(款)其他退役安置支出(项):支出决算数为135.79万元，比上年决算增加128.94万元，增长1,882.34%,主要原因是：本年增加无军籍退役士兵安置资金。</w:t>
      </w:r>
    </w:p>
    <w:p>
      <w:pPr>
        <w:spacing w:line="580" w:lineRule="exact"/>
        <w:ind w:firstLine="640"/>
        <w:jc w:val="both"/>
      </w:pPr>
      <w:r>
        <w:rPr>
          <w:rFonts w:ascii="仿宋_GB2312" w:hAnsi="仿宋_GB2312" w:eastAsia="仿宋_GB2312"/>
          <w:b w:val="0"/>
          <w:sz w:val="32"/>
        </w:rPr>
        <w:t>14.社会保障和就业支出(类)退役军人管理事务(款)行政运行(项):支出决算数为147.33万元，比上年决算减少10.00万元，下降6.36%,主要原因是：本年在职人员调入调出，人员职级不同，工资基数不同，导致人员经费较上年减少。</w:t>
      </w:r>
    </w:p>
    <w:p>
      <w:pPr>
        <w:spacing w:line="580" w:lineRule="exact"/>
        <w:ind w:firstLine="640"/>
        <w:jc w:val="both"/>
      </w:pPr>
      <w:r>
        <w:rPr>
          <w:rFonts w:ascii="仿宋_GB2312" w:hAnsi="仿宋_GB2312" w:eastAsia="仿宋_GB2312"/>
          <w:b w:val="0"/>
          <w:sz w:val="32"/>
        </w:rPr>
        <w:t>15.社会保障和就业支出(类)退役军人管理事务(款)拥军优属(项):支出决算数为23.03万元，比上年决算增加5.41万元，增长30.70%,主要原因是：本年度双拥工作经费增加，业务增加，经费支出增加。</w:t>
      </w:r>
    </w:p>
    <w:p>
      <w:pPr>
        <w:spacing w:line="580" w:lineRule="exact"/>
        <w:ind w:firstLine="640"/>
        <w:jc w:val="both"/>
      </w:pPr>
      <w:r>
        <w:rPr>
          <w:rFonts w:ascii="仿宋_GB2312" w:hAnsi="仿宋_GB2312" w:eastAsia="仿宋_GB2312"/>
          <w:b w:val="0"/>
          <w:sz w:val="32"/>
        </w:rPr>
        <w:t>16.社会保障和就业支出(类)退役军人管理事务(款)其他退役军人事务管理支出(项):支出决算数为2.86万元，比上年决算减少14.19万元，下降83.23%,主要原因是：本年复原干部数量减少，经费减少。</w:t>
      </w:r>
    </w:p>
    <w:p>
      <w:pPr>
        <w:spacing w:line="580" w:lineRule="exact"/>
        <w:ind w:firstLine="640"/>
        <w:jc w:val="both"/>
      </w:pPr>
      <w:r>
        <w:rPr>
          <w:rFonts w:ascii="仿宋_GB2312" w:hAnsi="仿宋_GB2312" w:eastAsia="仿宋_GB2312"/>
          <w:b w:val="0"/>
          <w:sz w:val="32"/>
        </w:rPr>
        <w:t>17.卫生健康支出(类)行政事业单位医疗(款)行政单位医疗(项):支出决算数为4.44万元，比上年决算减少0.87万元，下降16.38%,主要原因是：本年在职人员调入调出，人员职级不同，缴费基数不同，导致行政单位医疗较上年减少。</w:t>
      </w:r>
    </w:p>
    <w:p>
      <w:pPr>
        <w:spacing w:line="580" w:lineRule="exact"/>
        <w:ind w:firstLine="640"/>
        <w:jc w:val="both"/>
      </w:pPr>
      <w:r>
        <w:rPr>
          <w:rFonts w:ascii="仿宋_GB2312" w:hAnsi="仿宋_GB2312" w:eastAsia="仿宋_GB2312"/>
          <w:b w:val="0"/>
          <w:sz w:val="32"/>
        </w:rPr>
        <w:t>18.卫生健康支出(类)行政事业单位医疗(款)事业单位医疗(项):支出决算数为5.25万元，比上年决算增加1.87万元，增长55.33%,主要原因是：本年在职人员工资基数调增，医疗缴费基数上涨，相应支出增加。</w:t>
      </w:r>
    </w:p>
    <w:p>
      <w:pPr>
        <w:spacing w:line="580" w:lineRule="exact"/>
        <w:ind w:firstLine="640"/>
        <w:jc w:val="both"/>
      </w:pPr>
      <w:r>
        <w:rPr>
          <w:rFonts w:ascii="仿宋_GB2312" w:hAnsi="仿宋_GB2312" w:eastAsia="仿宋_GB2312"/>
          <w:b w:val="0"/>
          <w:sz w:val="32"/>
        </w:rPr>
        <w:t>19.卫生健康支出(类)行政事业单位医疗(款)公务员医疗补助(项):支出决算数为0.12万元，比上年决算减少0.02万元，下降14.29%,主要原因是：本年在职人员调入调出，人员职级不同，缴费基数不同，导致公务员医疗补助较上年减少。</w:t>
      </w:r>
    </w:p>
    <w:p>
      <w:pPr>
        <w:spacing w:line="580" w:lineRule="exact"/>
        <w:ind w:firstLine="640"/>
        <w:jc w:val="both"/>
      </w:pPr>
      <w:r>
        <w:rPr>
          <w:rFonts w:ascii="仿宋_GB2312" w:hAnsi="仿宋_GB2312" w:eastAsia="仿宋_GB2312"/>
          <w:b w:val="0"/>
          <w:sz w:val="32"/>
        </w:rPr>
        <w:t>20.卫生健康支出(类)优抚对象医疗(款)优抚对象医疗补助(项):支出决算数为1.03万元，比上年决算减少1.33万元，下降56.36%,主要原因是：补助对象申请补助资金人数减少，相应经费支出减少。</w:t>
      </w:r>
    </w:p>
    <w:p>
      <w:pPr>
        <w:spacing w:line="580" w:lineRule="exact"/>
        <w:ind w:firstLine="640"/>
        <w:jc w:val="both"/>
      </w:pPr>
      <w:r>
        <w:rPr>
          <w:rFonts w:ascii="仿宋_GB2312" w:hAnsi="仿宋_GB2312" w:eastAsia="仿宋_GB2312"/>
          <w:b w:val="0"/>
          <w:sz w:val="32"/>
        </w:rPr>
        <w:t>21.住房保障支出(类)住房改革支出(款)住房公积金(项):支出决算数为15.36万元，比上年决算减少0.57万元，下降3.58%,主要原因是：本年在职人员调入调出，人员职级不同，缴费基数不同，导致住房公积金较上年减少。</w:t>
      </w:r>
    </w:p>
    <w:p>
      <w:pPr>
        <w:spacing w:line="640" w:lineRule="exact"/>
        <w:ind w:firstLine="640"/>
        <w:jc w:val="both"/>
        <w:outlineLvl w:val="2"/>
      </w:pPr>
      <w:r>
        <w:rPr>
          <w:rFonts w:ascii="黑体" w:hAnsi="黑体" w:eastAsia="黑体"/>
          <w:sz w:val="32"/>
        </w:rPr>
        <w:t>六、一般公共预算财政拨款基本支出决算情况说明</w:t>
      </w:r>
    </w:p>
    <w:p>
      <w:pPr>
        <w:spacing w:line="580" w:lineRule="exact"/>
        <w:ind w:firstLine="640"/>
        <w:jc w:val="both"/>
      </w:pPr>
      <w:r>
        <w:rPr>
          <w:rFonts w:ascii="仿宋_GB2312" w:hAnsi="仿宋_GB2312" w:eastAsia="仿宋_GB2312"/>
          <w:b w:val="0"/>
          <w:sz w:val="32"/>
        </w:rPr>
        <w:t>2024年度一般公共预算财政拨款基本支出193.09万元，其中：</w:t>
      </w:r>
      <w:r>
        <w:rPr>
          <w:rFonts w:ascii="仿宋_GB2312" w:hAnsi="仿宋_GB2312" w:eastAsia="仿宋_GB2312"/>
          <w:b/>
          <w:sz w:val="32"/>
        </w:rPr>
        <w:t>人员经费191.49万元，</w:t>
      </w:r>
      <w:r>
        <w:rPr>
          <w:rFonts w:ascii="仿宋_GB2312" w:hAnsi="仿宋_GB2312" w:eastAsia="仿宋_GB2312"/>
          <w:b w:val="0"/>
          <w:sz w:val="32"/>
        </w:rPr>
        <w:t>包括：基本工资、津贴补贴、奖金、绩效工资、机关事业单位基本养老保险缴费、职工基本医疗保险缴费、公务员医疗补助缴费、其他社会保障缴费、住房公积金、其他工资福利支出、退休费。</w:t>
      </w:r>
    </w:p>
    <w:p>
      <w:pPr>
        <w:spacing w:line="580" w:lineRule="exact"/>
        <w:ind w:firstLine="640"/>
        <w:jc w:val="both"/>
      </w:pPr>
      <w:r>
        <w:rPr>
          <w:rFonts w:ascii="仿宋_GB2312" w:hAnsi="仿宋_GB2312" w:eastAsia="仿宋_GB2312"/>
          <w:b/>
          <w:sz w:val="32"/>
        </w:rPr>
        <w:t>公用经费1.60万元，</w:t>
      </w:r>
      <w:r>
        <w:rPr>
          <w:rFonts w:ascii="仿宋_GB2312" w:hAnsi="仿宋_GB2312" w:eastAsia="仿宋_GB2312"/>
          <w:b w:val="0"/>
          <w:sz w:val="32"/>
        </w:rPr>
        <w:t>包括：办公费、电费。</w:t>
      </w:r>
    </w:p>
    <w:p>
      <w:pPr>
        <w:spacing w:line="640" w:lineRule="exact"/>
        <w:ind w:firstLine="640"/>
        <w:jc w:val="both"/>
        <w:outlineLvl w:val="2"/>
      </w:pPr>
      <w:r>
        <w:rPr>
          <w:rFonts w:ascii="黑体" w:hAnsi="黑体" w:eastAsia="黑体"/>
          <w:sz w:val="32"/>
        </w:rPr>
        <w:t>七、政府性基金预算财政拨款收入支出决算情况说明</w:t>
      </w:r>
    </w:p>
    <w:p>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pPr>
        <w:spacing w:line="640" w:lineRule="exact"/>
        <w:ind w:firstLine="640"/>
        <w:jc w:val="both"/>
        <w:outlineLvl w:val="2"/>
      </w:pPr>
      <w:r>
        <w:rPr>
          <w:rFonts w:ascii="黑体" w:hAnsi="黑体" w:eastAsia="黑体"/>
          <w:sz w:val="32"/>
        </w:rPr>
        <w:t>八、国有资本经营预算财政拨款收入支出决算情况说明</w:t>
      </w:r>
    </w:p>
    <w:p>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pPr>
        <w:spacing w:line="640" w:lineRule="exact"/>
        <w:ind w:firstLine="640"/>
        <w:jc w:val="both"/>
        <w:outlineLvl w:val="2"/>
      </w:pPr>
      <w:r>
        <w:rPr>
          <w:rFonts w:ascii="黑体" w:hAnsi="黑体" w:eastAsia="黑体"/>
          <w:sz w:val="32"/>
        </w:rPr>
        <w:t>九、财政拨款“三公”经费支出决算情况说明</w:t>
      </w:r>
    </w:p>
    <w:p>
      <w:pPr>
        <w:spacing w:line="580" w:lineRule="exact"/>
        <w:ind w:firstLine="640"/>
        <w:jc w:val="both"/>
      </w:pPr>
      <w:r>
        <w:rPr>
          <w:rFonts w:ascii="仿宋_GB2312" w:hAnsi="仿宋_GB2312" w:eastAsia="仿宋_GB2312"/>
          <w:b/>
          <w:sz w:val="32"/>
        </w:rPr>
        <w:t>2024年度财政拨款“三公”经费支出0.86万元，</w:t>
      </w:r>
      <w:r>
        <w:rPr>
          <w:rFonts w:ascii="仿宋_GB2312" w:hAnsi="仿宋_GB2312" w:eastAsia="仿宋_GB2312"/>
          <w:b w:val="0"/>
          <w:sz w:val="32"/>
        </w:rPr>
        <w:t>比上年增加0.86万元，增长100.00%，主要原因是：本单位公务用车日渐老化，维修维护成本增加，导致公务用车运行维护费较上年增加。</w:t>
      </w:r>
      <w:r>
        <w:rPr>
          <w:rFonts w:ascii="仿宋_GB2312" w:hAnsi="仿宋_GB2312" w:eastAsia="仿宋_GB2312"/>
          <w:b w:val="0"/>
          <w:sz w:val="32"/>
        </w:rPr>
        <w:t>其中：因公出国（境）费支出0.00万元，占0.00%，比上年增加0.00万元，增长0.00%，主要原因是：2023年与2024年均未安排因公出国（境）费支出。</w:t>
      </w:r>
      <w:r>
        <w:rPr>
          <w:rFonts w:ascii="仿宋_GB2312" w:hAnsi="仿宋_GB2312" w:eastAsia="仿宋_GB2312"/>
          <w:b w:val="0"/>
          <w:sz w:val="32"/>
        </w:rPr>
        <w:t>公务用车购置及运行维护费支出0.86万元，占100.00%，比上年增加0.86万元，增长100.00%，主要原因是：本单位公务用车日渐老化，维修维护成本增加，导致公务用车运行维护费较上年增加。</w:t>
      </w:r>
      <w:r>
        <w:rPr>
          <w:rFonts w:ascii="仿宋_GB2312" w:hAnsi="仿宋_GB2312" w:eastAsia="仿宋_GB2312"/>
          <w:b w:val="0"/>
          <w:sz w:val="32"/>
        </w:rPr>
        <w:t>公务接待费支出0.00万元，占0.00%，比上年增加0.00万元，增长0.00%，主要原因是：2023年与2024年均未安排公务接待费支出。</w:t>
      </w:r>
    </w:p>
    <w:p>
      <w:pPr>
        <w:spacing w:line="580" w:lineRule="exact"/>
        <w:ind w:firstLine="640"/>
        <w:jc w:val="both"/>
      </w:pPr>
      <w:r>
        <w:rPr>
          <w:rFonts w:ascii="仿宋_GB2312" w:hAnsi="仿宋_GB2312" w:eastAsia="仿宋_GB2312"/>
          <w:b/>
          <w:sz w:val="32"/>
        </w:rPr>
        <w:t>具体情况如下：</w:t>
      </w:r>
    </w:p>
    <w:p>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pPr>
        <w:spacing w:line="580" w:lineRule="exact"/>
        <w:ind w:firstLine="640"/>
        <w:jc w:val="both"/>
      </w:pPr>
      <w:r>
        <w:rPr>
          <w:rFonts w:ascii="仿宋_GB2312" w:hAnsi="仿宋_GB2312" w:eastAsia="仿宋_GB2312"/>
          <w:b w:val="0"/>
          <w:sz w:val="32"/>
        </w:rPr>
        <w:t>公务用车购置及运行维护费0.86万元，其中：公务用车购置费0.00万元，公务用车运行维护费0.86万元。公务用车运行维护费开支内容包括车辆加油费、维修费、保险费、审车费、过路费等。公务用车购置数0辆，公务用车保有量1辆。国有资产占用情况中固定资产车辆1辆，与公务用车保有量差异原因是：本单位固定资产车辆与公务用车保有量一致无差异。</w:t>
      </w:r>
    </w:p>
    <w:p>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0.86万元，决算数0.86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0.86万元，决算数0.86万元，预决算差异率0.00%，主要原因是：严格按照预算执行，预决算无差异。公务接待费全年预算数0.00万元，决算数0.00万元，预决算差异率0.00%，主要原因是：本单位无公务接待费。</w:t>
      </w:r>
    </w:p>
    <w:p>
      <w:pPr>
        <w:spacing w:line="640" w:lineRule="exact"/>
        <w:ind w:firstLine="640"/>
        <w:jc w:val="both"/>
        <w:outlineLvl w:val="2"/>
      </w:pPr>
      <w:r>
        <w:rPr>
          <w:rFonts w:ascii="黑体" w:hAnsi="黑体" w:eastAsia="黑体"/>
          <w:sz w:val="32"/>
        </w:rPr>
        <w:t>十、其他重要事项的情况说明</w:t>
      </w:r>
    </w:p>
    <w:p>
      <w:pPr>
        <w:spacing w:line="640" w:lineRule="exact"/>
        <w:ind w:firstLine="640"/>
        <w:jc w:val="both"/>
        <w:outlineLvl w:val="3"/>
      </w:pPr>
      <w:r>
        <w:rPr>
          <w:rFonts w:ascii="楷体_GB2312" w:hAnsi="楷体_GB2312" w:eastAsia="楷体_GB2312"/>
          <w:b/>
          <w:sz w:val="32"/>
        </w:rPr>
        <w:t>（一）机关运行经费及公用经费支出情况</w:t>
      </w:r>
    </w:p>
    <w:p>
      <w:pPr>
        <w:spacing w:line="580" w:lineRule="exact"/>
        <w:ind w:firstLine="640"/>
        <w:jc w:val="both"/>
      </w:pPr>
      <w:r>
        <w:rPr>
          <w:rFonts w:ascii="仿宋_GB2312" w:hAnsi="仿宋_GB2312" w:eastAsia="仿宋_GB2312"/>
          <w:b w:val="0"/>
          <w:sz w:val="32"/>
        </w:rPr>
        <w:t>2024年度尼勒克县退役军人事务局（行政单位和参照公务员法管理事业单位）机关运行经费支出1.60万元，比上年减少8.50万元，下降84.16%，主要原因是：严格控制公用经费，合理节约办公用品，减少不必要开支。</w:t>
      </w:r>
    </w:p>
    <w:p>
      <w:pPr>
        <w:spacing w:line="640" w:lineRule="exact"/>
        <w:ind w:firstLine="640"/>
        <w:jc w:val="both"/>
        <w:outlineLvl w:val="3"/>
      </w:pPr>
      <w:r>
        <w:rPr>
          <w:rFonts w:ascii="楷体_GB2312" w:hAnsi="楷体_GB2312" w:eastAsia="楷体_GB2312"/>
          <w:b/>
          <w:sz w:val="32"/>
        </w:rPr>
        <w:t>（二）政府采购情况</w:t>
      </w:r>
    </w:p>
    <w:p>
      <w:pPr>
        <w:spacing w:line="580" w:lineRule="exact"/>
        <w:ind w:firstLine="640"/>
        <w:jc w:val="both"/>
      </w:pPr>
      <w:r>
        <w:rPr>
          <w:rFonts w:ascii="仿宋_GB2312" w:hAnsi="仿宋_GB2312" w:eastAsia="仿宋_GB2312"/>
          <w:b w:val="0"/>
          <w:sz w:val="32"/>
        </w:rPr>
        <w:t>2024年度政府采购支出总额5.98万元，其中：政府采购货物支出5.98万元、政府采购工程支出0.00万元、政府采购服务支出0.00万元。</w:t>
      </w:r>
    </w:p>
    <w:p>
      <w:pPr>
        <w:spacing w:line="580" w:lineRule="exact"/>
        <w:ind w:firstLine="640"/>
        <w:jc w:val="both"/>
      </w:pPr>
      <w:r>
        <w:rPr>
          <w:rFonts w:ascii="仿宋_GB2312" w:hAnsi="仿宋_GB2312" w:eastAsia="仿宋_GB2312"/>
          <w:b w:val="0"/>
          <w:sz w:val="32"/>
        </w:rPr>
        <w:t>授予中小企业合同金额5.98万元，占政府采购支出总额的100.00%，其中：授予小微企业合同金额5.98万元，占政府采购支出总额的100.00%。</w:t>
      </w:r>
    </w:p>
    <w:p>
      <w:pPr>
        <w:spacing w:line="640" w:lineRule="exact"/>
        <w:ind w:firstLine="640"/>
        <w:jc w:val="both"/>
        <w:outlineLvl w:val="3"/>
      </w:pPr>
      <w:r>
        <w:rPr>
          <w:rFonts w:ascii="楷体_GB2312" w:hAnsi="楷体_GB2312" w:eastAsia="楷体_GB2312"/>
          <w:b/>
          <w:sz w:val="32"/>
        </w:rPr>
        <w:t>（三）国有资产占用情况说明</w:t>
      </w:r>
    </w:p>
    <w:p>
      <w:pPr>
        <w:spacing w:line="580" w:lineRule="exact"/>
        <w:ind w:firstLine="640"/>
        <w:jc w:val="both"/>
      </w:pPr>
      <w:r>
        <w:rPr>
          <w:rFonts w:ascii="仿宋_GB2312" w:hAnsi="仿宋_GB2312" w:eastAsia="仿宋_GB2312"/>
          <w:b w:val="0"/>
          <w:sz w:val="32"/>
        </w:rPr>
        <w:t>截至2024年12月31日，房屋0.00平方米，价值0.00万元。车辆1辆，价值16.53万元，其中：副部（省）级及以上领导用车0辆、主要负责人用车0辆、机要通信用车1辆、应急保障用车0辆、执法执勤用车0辆、特种专业技术用车0辆、离退休干部服务用车0辆、其他用车0辆，其他用车主要是：本单位无其他用车。单价100万元（含）以上设备（不含车辆）0台（套）。</w:t>
      </w:r>
    </w:p>
    <w:p>
      <w:pPr>
        <w:spacing w:line="640" w:lineRule="exact"/>
        <w:ind w:firstLine="640"/>
        <w:jc w:val="both"/>
        <w:outlineLvl w:val="2"/>
      </w:pPr>
      <w:r>
        <w:rPr>
          <w:rFonts w:ascii="黑体" w:hAnsi="黑体" w:eastAsia="黑体"/>
          <w:sz w:val="32"/>
        </w:rPr>
        <w:t>十一、预算绩效的情况说明</w:t>
      </w:r>
    </w:p>
    <w:p>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0.00万元，实际执行总额0.00万元；预算绩效评价项目0个，全年预算数0.00万元，全年执行数0.00万元。预算绩效管理取得的成效：我单位绩效自评项目涉密不予公开。发现的问题及原因：我单位绩效自评项目涉密不予公开。下一步改进措施：我单位绩效自评项目涉密不予公开。具体附整体支出绩效自评表。</w:t>
      </w:r>
    </w:p>
    <w:p>
      <w:r>
        <w:br w:type="page"/>
      </w:r>
    </w:p>
    <w:p>
      <w:pPr>
        <w:spacing w:line="640" w:lineRule="exact"/>
        <w:ind w:firstLine="640"/>
        <w:jc w:val="both"/>
        <w:outlineLvl w:val="2"/>
      </w:pPr>
      <w:r>
        <w:rPr>
          <w:rFonts w:ascii="黑体" w:hAnsi="黑体" w:eastAsia="黑体"/>
          <w:sz w:val="32"/>
        </w:rPr>
        <w:t>十二、其他需说明的事项</w:t>
      </w:r>
    </w:p>
    <w:p>
      <w:pPr>
        <w:spacing w:line="580" w:lineRule="exact"/>
        <w:ind w:firstLine="640"/>
        <w:jc w:val="both"/>
      </w:pPr>
      <w:r>
        <w:rPr>
          <w:rFonts w:ascii="仿宋_GB2312" w:hAnsi="仿宋_GB2312" w:eastAsia="仿宋_GB2312"/>
          <w:b w:val="0"/>
          <w:sz w:val="32"/>
        </w:rPr>
        <w:t>本年度本单位整体绩效自评表不予公开，本年本单位SM项目7个，全年预算数783.16万元，全年执行数755.94万元。</w:t>
      </w:r>
    </w:p>
    <w:p>
      <w:r>
        <w:br w:type="page"/>
      </w:r>
    </w:p>
    <w:p>
      <w:pPr>
        <w:spacing w:line="240" w:lineRule="auto"/>
        <w:jc w:val="center"/>
        <w:outlineLvl w:val="1"/>
      </w:pPr>
      <w:r>
        <w:rPr>
          <w:rFonts w:ascii="黑体" w:hAnsi="黑体" w:eastAsia="黑体"/>
          <w:sz w:val="32"/>
        </w:rPr>
        <w:t>第三部分 专业名词解释</w:t>
      </w:r>
    </w:p>
    <w:p>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r>
        <w:br w:type="page"/>
      </w:r>
    </w:p>
    <w:p>
      <w:pPr>
        <w:spacing w:line="240" w:lineRule="auto"/>
        <w:jc w:val="center"/>
        <w:outlineLvl w:val="1"/>
      </w:pPr>
      <w:r>
        <w:rPr>
          <w:rFonts w:ascii="黑体" w:hAnsi="黑体" w:eastAsia="黑体"/>
          <w:sz w:val="32"/>
        </w:rPr>
        <w:t>第四部分 部门决算报表（见附表）</w:t>
      </w:r>
    </w:p>
    <w:p>
      <w:pPr>
        <w:spacing w:line="240" w:lineRule="auto"/>
        <w:ind w:firstLine="640"/>
        <w:jc w:val="both"/>
      </w:pPr>
      <w:r>
        <w:rPr>
          <w:rFonts w:ascii="仿宋_GB2312" w:hAnsi="仿宋_GB2312" w:eastAsia="仿宋_GB2312"/>
          <w:b w:val="0"/>
          <w:sz w:val="32"/>
        </w:rPr>
        <w:t>一、《收入支出决算总表》</w:t>
      </w:r>
    </w:p>
    <w:p>
      <w:pPr>
        <w:spacing w:line="240" w:lineRule="auto"/>
        <w:ind w:firstLine="640"/>
        <w:jc w:val="both"/>
      </w:pPr>
      <w:r>
        <w:rPr>
          <w:rFonts w:ascii="仿宋_GB2312" w:hAnsi="仿宋_GB2312" w:eastAsia="仿宋_GB2312"/>
          <w:b w:val="0"/>
          <w:sz w:val="32"/>
        </w:rPr>
        <w:t>二、《收入决算表》</w:t>
      </w:r>
    </w:p>
    <w:p>
      <w:pPr>
        <w:spacing w:line="240" w:lineRule="auto"/>
        <w:ind w:firstLine="640"/>
        <w:jc w:val="both"/>
      </w:pPr>
      <w:r>
        <w:rPr>
          <w:rFonts w:ascii="仿宋_GB2312" w:hAnsi="仿宋_GB2312" w:eastAsia="仿宋_GB2312"/>
          <w:b w:val="0"/>
          <w:sz w:val="32"/>
        </w:rPr>
        <w:t>三、《支出决算表》</w:t>
      </w:r>
    </w:p>
    <w:p>
      <w:pPr>
        <w:spacing w:line="240" w:lineRule="auto"/>
        <w:ind w:firstLine="640"/>
        <w:jc w:val="both"/>
      </w:pPr>
      <w:r>
        <w:rPr>
          <w:rFonts w:ascii="仿宋_GB2312" w:hAnsi="仿宋_GB2312" w:eastAsia="仿宋_GB2312"/>
          <w:b w:val="0"/>
          <w:sz w:val="32"/>
        </w:rPr>
        <w:t>四、《财政拨款收入支出决算总表》</w:t>
      </w:r>
    </w:p>
    <w:p>
      <w:pPr>
        <w:spacing w:line="240" w:lineRule="auto"/>
        <w:ind w:firstLine="640"/>
        <w:jc w:val="both"/>
      </w:pPr>
      <w:r>
        <w:rPr>
          <w:rFonts w:ascii="仿宋_GB2312" w:hAnsi="仿宋_GB2312" w:eastAsia="仿宋_GB2312"/>
          <w:b w:val="0"/>
          <w:sz w:val="32"/>
        </w:rPr>
        <w:t>五、《一般公共预算财政拨款支出决算表》</w:t>
      </w:r>
    </w:p>
    <w:p>
      <w:pPr>
        <w:spacing w:line="240" w:lineRule="auto"/>
        <w:ind w:firstLine="640"/>
        <w:jc w:val="both"/>
      </w:pPr>
      <w:r>
        <w:rPr>
          <w:rFonts w:ascii="仿宋_GB2312" w:hAnsi="仿宋_GB2312" w:eastAsia="仿宋_GB2312"/>
          <w:b w:val="0"/>
          <w:sz w:val="32"/>
        </w:rPr>
        <w:t>六、《一般公共预算财政拨款基本支出决算表》</w:t>
      </w:r>
    </w:p>
    <w:p>
      <w:pPr>
        <w:spacing w:line="240" w:lineRule="auto"/>
        <w:ind w:firstLine="640"/>
        <w:jc w:val="both"/>
      </w:pPr>
      <w:r>
        <w:rPr>
          <w:rFonts w:ascii="仿宋_GB2312" w:hAnsi="仿宋_GB2312" w:eastAsia="仿宋_GB2312"/>
          <w:b w:val="0"/>
          <w:sz w:val="32"/>
        </w:rPr>
        <w:t>七、《政府性基金预算财政拨款收入支出决算表》</w:t>
      </w:r>
    </w:p>
    <w:p>
      <w:pPr>
        <w:spacing w:line="240" w:lineRule="auto"/>
        <w:ind w:firstLine="640"/>
        <w:jc w:val="both"/>
      </w:pPr>
      <w:r>
        <w:rPr>
          <w:rFonts w:ascii="仿宋_GB2312" w:hAnsi="仿宋_GB2312" w:eastAsia="仿宋_GB2312"/>
          <w:b w:val="0"/>
          <w:sz w:val="32"/>
        </w:rPr>
        <w:t>八、《国有资本经营预算财政拨款收入支出决算表》</w:t>
      </w:r>
    </w:p>
    <w:p>
      <w:pPr>
        <w:spacing w:line="240" w:lineRule="auto"/>
        <w:ind w:firstLine="640"/>
        <w:jc w:val="both"/>
      </w:pPr>
      <w:r>
        <w:rPr>
          <w:rFonts w:ascii="仿宋_GB2312" w:hAnsi="仿宋_GB2312" w:eastAsia="仿宋_GB2312"/>
          <w:b w:val="0"/>
          <w:sz w:val="32"/>
        </w:rPr>
        <w:t>九、《财政拨款“三公”经费支出决算表》</w:t>
      </w: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2000000000000000000"/>
    <w:charset w:val="86"/>
    <w:family w:val="script"/>
    <w:pitch w:val="default"/>
    <w:sig w:usb0="00000000" w:usb1="00000000" w:usb2="00082016" w:usb3="00000000" w:csb0="00040001"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523</Words>
  <Characters>541</Characters>
  <Lines>0</Lines>
  <Paragraphs>0</Paragraphs>
  <TotalTime>0</TotalTime>
  <ScaleCrop>false</ScaleCrop>
  <LinksUpToDate>false</LinksUpToDate>
  <CharactersWithSpaces>547</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郭子歪</cp:lastModifiedBy>
  <cp:lastPrinted>2024-07-22T11:58:00Z</cp:lastPrinted>
  <dcterms:modified xsi:type="dcterms:W3CDTF">2025-08-08T11:56:24Z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B858A68E913346F885B5BC17D4DBEB06_13</vt:lpwstr>
  </property>
  <property fmtid="{D5CDD505-2E9C-101B-9397-08002B2CF9AE}" pid="4" name="KSOTemplateDocerSaveRecord">
    <vt:lpwstr>eyJoZGlkIjoiODY5ZWEwNzk5MThkZjUwOTQxNjE1MDdiYWJiNGU5YzAiLCJ1c2VySWQiOiI0Nzg3NDM5MjgifQ==</vt:lpwstr>
  </property>
</Properties>
</file>