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尼勒克县财政局本级2024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县财政局负责贯彻落实党中央关于财经工作的方针政策和决策部署以及自治区、自治州党委、县委工作要求，在履行职责过程中坚持和加强党对财政工作的集中统一领导。主要职责是。</w:t>
      </w:r>
    </w:p>
    <w:p>
      <w:pPr>
        <w:spacing w:line="580" w:lineRule="exact"/>
        <w:ind w:firstLine="640"/>
        <w:jc w:val="both"/>
      </w:pPr>
      <w:r>
        <w:rPr>
          <w:rFonts w:ascii="仿宋_GB2312" w:hAnsi="仿宋_GB2312" w:eastAsia="仿宋_GB2312"/>
          <w:sz w:val="32"/>
        </w:rPr>
        <w:t>（一）根据自治区、自治州、尼勒克县国民经济和社会发展战略，拟定财政发展战略、中长期财政规划和改革方案并组织实施。分析预测宏观经济形势，参与宏观经济决策和管理，提出运用财税政策实施区域经济调控和综合平衡社会财力的建议。</w:t>
      </w:r>
    </w:p>
    <w:p>
      <w:pPr>
        <w:spacing w:line="580" w:lineRule="exact"/>
        <w:ind w:firstLine="640"/>
        <w:jc w:val="both"/>
      </w:pPr>
      <w:r>
        <w:rPr>
          <w:rFonts w:ascii="仿宋_GB2312" w:hAnsi="仿宋_GB2312" w:eastAsia="仿宋_GB2312"/>
          <w:sz w:val="32"/>
        </w:rPr>
        <w:t>（二）承担各项财政收支管理责任。负责编制全县预决算草案并组织执行。受县人民政府委托向尼勒克县人民代表大会报告预算及执行情况，向尼勒克县人大常委会报告决算。组织制定需要统一规定的经费开支标准、定额，负责财政预决算工作。</w:t>
      </w:r>
    </w:p>
    <w:p>
      <w:pPr>
        <w:spacing w:line="580" w:lineRule="exact"/>
        <w:ind w:firstLine="640"/>
        <w:jc w:val="both"/>
      </w:pPr>
      <w:r>
        <w:rPr>
          <w:rFonts w:ascii="仿宋_GB2312" w:hAnsi="仿宋_GB2312" w:eastAsia="仿宋_GB2312"/>
          <w:sz w:val="32"/>
        </w:rPr>
        <w:t>（三）负责政府非税收入和政府性基金管理。执行彩票管理政策和有关办法，按规定管理彩票资金。</w:t>
      </w:r>
    </w:p>
    <w:p>
      <w:pPr>
        <w:spacing w:line="580" w:lineRule="exact"/>
        <w:ind w:firstLine="640"/>
        <w:jc w:val="both"/>
      </w:pPr>
      <w:r>
        <w:rPr>
          <w:rFonts w:ascii="仿宋_GB2312" w:hAnsi="仿宋_GB2312" w:eastAsia="仿宋_GB2312"/>
          <w:sz w:val="32"/>
        </w:rPr>
        <w:t>（四）实施国库管理制度、国库集中收付制度，代表县人民政府管理、监督国库资金的缴拨使用。执行政府购买服务制度和政策。管理财政统一发放工资工作。</w:t>
      </w:r>
    </w:p>
    <w:p>
      <w:pPr>
        <w:spacing w:line="580" w:lineRule="exact"/>
        <w:ind w:firstLine="640"/>
        <w:jc w:val="both"/>
      </w:pPr>
      <w:r>
        <w:rPr>
          <w:rFonts w:ascii="仿宋_GB2312" w:hAnsi="仿宋_GB2312" w:eastAsia="仿宋_GB2312"/>
          <w:sz w:val="32"/>
        </w:rPr>
        <w:t>（五）执行国家和自治区、自治州地方政府性债务管理制度和办法，按规定开展地方政府债券管理工作，防范财政风险。负责管理政府外债，组织实施外国政府、国际金融组织贷款项目和审核、申报、转贷、签订贷款协定以及资金管理工作。</w:t>
      </w:r>
    </w:p>
    <w:p>
      <w:pPr>
        <w:spacing w:line="580" w:lineRule="exact"/>
        <w:ind w:firstLine="640"/>
        <w:jc w:val="both"/>
      </w:pPr>
      <w:r>
        <w:rPr>
          <w:rFonts w:ascii="仿宋_GB2312" w:hAnsi="仿宋_GB2312" w:eastAsia="仿宋_GB2312"/>
          <w:sz w:val="32"/>
        </w:rPr>
        <w:t>（六）执行国家和自治区建设投资的有关政策和基本建设财务管理制度，负责中央和自治区政府性投资项目财政资金管理工作。执行自治区、自治州政府和社会资本合作（PPP）有关政策制度，承担相关规范管理工作；承担有关政策性补贴和专项储备资金财政管理工作；管理各项专项资金及扶贫资金。</w:t>
      </w:r>
    </w:p>
    <w:p>
      <w:pPr>
        <w:spacing w:line="580" w:lineRule="exact"/>
        <w:ind w:firstLine="640"/>
        <w:jc w:val="both"/>
      </w:pPr>
      <w:r>
        <w:rPr>
          <w:rFonts w:ascii="仿宋_GB2312" w:hAnsi="仿宋_GB2312" w:eastAsia="仿宋_GB2312"/>
          <w:sz w:val="32"/>
        </w:rPr>
        <w:t>（七）贯彻执行国家和自治区、自治州行政事业单位国有资产管理法规、制度和方针政策，执行国家和自治区、自治州行政事业单位国有资产管理政策制度，按规定管理行政事业单位国有资产，履行行政事业单位国有资产购置、使用、处置监督审核职责。牵头编制国有资产管理情况报告，执行全区统一规定的开支标准和支出政策。负责尼勒克县国有文化资产监管工作。</w:t>
      </w:r>
    </w:p>
    <w:p>
      <w:pPr>
        <w:spacing w:line="580" w:lineRule="exact"/>
        <w:ind w:firstLine="640"/>
        <w:jc w:val="both"/>
      </w:pPr>
      <w:r>
        <w:rPr>
          <w:rFonts w:ascii="仿宋_GB2312" w:hAnsi="仿宋_GB2312" w:eastAsia="仿宋_GB2312"/>
          <w:sz w:val="32"/>
        </w:rPr>
        <w:t>（八）会同有关部门管理财政预算安排的社会保障和就业及医疗卫生资金管理工作，会同有关部门执行社会保障资金（基金）政策和有关的财务管理制度，编制社会保障预决算草案。</w:t>
      </w:r>
    </w:p>
    <w:p>
      <w:pPr>
        <w:spacing w:line="580" w:lineRule="exact"/>
        <w:ind w:firstLine="640"/>
        <w:jc w:val="both"/>
      </w:pPr>
      <w:r>
        <w:rPr>
          <w:rFonts w:ascii="仿宋_GB2312" w:hAnsi="仿宋_GB2312" w:eastAsia="仿宋_GB2312"/>
          <w:sz w:val="32"/>
        </w:rPr>
        <w:t>（九）负责审核和汇总编制国有资本经营预决算草案，执行国家和自治区、自治州国有资本经营预算的制度和办法，收取尼勒克县企业国有资本收益。组织实施企业财务制度，参与制定企业国有资产管理相关制度。</w:t>
      </w:r>
    </w:p>
    <w:p>
      <w:pPr>
        <w:spacing w:line="580" w:lineRule="exact"/>
        <w:ind w:firstLine="640"/>
        <w:jc w:val="both"/>
      </w:pPr>
      <w:r>
        <w:rPr>
          <w:rFonts w:ascii="仿宋_GB2312" w:hAnsi="仿宋_GB2312" w:eastAsia="仿宋_GB2312"/>
          <w:sz w:val="32"/>
        </w:rPr>
        <w:t>（十）管理和指导会计工作，规范会计行为。组织执行国家统一的会计制度及相关补充规定。组织管理会计人员的业务培训。组织执行行政事业单位内部控制建设。组织实施会计人员诚信建设、会计人员推荐选拔和会计人员继续教育。</w:t>
      </w:r>
    </w:p>
    <w:p>
      <w:pPr>
        <w:spacing w:line="580" w:lineRule="exact"/>
        <w:ind w:firstLine="640"/>
        <w:jc w:val="both"/>
      </w:pPr>
      <w:r>
        <w:rPr>
          <w:rFonts w:ascii="仿宋_GB2312" w:hAnsi="仿宋_GB2312" w:eastAsia="仿宋_GB2312"/>
          <w:sz w:val="32"/>
        </w:rPr>
        <w:t>（十一）监督检查财税法规、政策的执行情况，反映财政收支管理中的重大问题，提出加强财政管理的政策建议。贯彻落实财政绩效管理相关政策制度。组织实施专项资金绩效考核工作。实施财政支出绩效评价制度和评价体系。负责财政系统信息化建设规划并组织实施。</w:t>
      </w:r>
    </w:p>
    <w:p>
      <w:pPr>
        <w:spacing w:line="580" w:lineRule="exact"/>
        <w:ind w:firstLine="640"/>
        <w:jc w:val="both"/>
      </w:pPr>
      <w:r>
        <w:rPr>
          <w:rFonts w:ascii="仿宋_GB2312" w:hAnsi="仿宋_GB2312" w:eastAsia="仿宋_GB2312"/>
          <w:sz w:val="32"/>
        </w:rPr>
        <w:t>（十二）根据县人民政府授权，履行国有金融资本出资人职责，负责国有金融资本集中统一管理，对相关金融机构依法依规享有参与重大决策、选择管理者、享有收益等出资人权利。负责执行统一的国有金融资本管理规章制度。承担地方金融企业的国有资产和财务的监管工作。依法依规履行国有金融资本管理职责，负责组织实施基础管理、经营预算、绩效考核、负责人薪酬管理等工作。</w:t>
      </w:r>
    </w:p>
    <w:p>
      <w:pPr>
        <w:spacing w:line="580" w:lineRule="exact"/>
        <w:ind w:firstLine="640"/>
        <w:jc w:val="both"/>
      </w:pPr>
      <w:r>
        <w:rPr>
          <w:rFonts w:ascii="仿宋_GB2312" w:hAnsi="仿宋_GB2312" w:eastAsia="仿宋_GB2312"/>
          <w:sz w:val="32"/>
        </w:rPr>
        <w:t>（十三）根据县人民政府授权，依照《中华人民共和国公司法》《企业国有资产法》等法律法规履行出资人职责，监管县域企业的国有资产；承担监督所监管企业国有资产保值增值的责任；会同有关部门做好所监管企业领导班子管理和人才队伍建设工作；指导推进国有企业改革和重组，推进国有企业的现代企业制度建设；负责所监管企业国有资本经营预决算编制和执行等工作。组织实施改组（组建）国有资本投资、运营公司；负责县域企业国有资产基础管理工作，规范国有产权转让及交易行为，防止国有资产流失。</w:t>
      </w:r>
    </w:p>
    <w:p>
      <w:pPr>
        <w:spacing w:line="580" w:lineRule="exact"/>
        <w:ind w:firstLine="640"/>
        <w:jc w:val="both"/>
      </w:pPr>
      <w:r>
        <w:rPr>
          <w:rFonts w:ascii="仿宋_GB2312" w:hAnsi="仿宋_GB2312" w:eastAsia="仿宋_GB2312"/>
          <w:sz w:val="32"/>
        </w:rPr>
        <w:t>（十四）完成县委、县人民政府交办的其他任务。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尼勒克县财政局本级2024年度，实有人数62人，其中：在职人员37人，减少5人；离休人员0人，增加0人；退休人员25人,增加3人。</w:t>
      </w:r>
    </w:p>
    <w:p>
      <w:pPr>
        <w:spacing w:line="580" w:lineRule="exact"/>
        <w:ind w:firstLine="640"/>
        <w:jc w:val="both"/>
      </w:pPr>
      <w:r>
        <w:rPr>
          <w:rFonts w:ascii="仿宋_GB2312" w:hAnsi="仿宋_GB2312" w:eastAsia="仿宋_GB2312"/>
          <w:sz w:val="32"/>
        </w:rPr>
        <w:t>尼勒克县财政局本级无下属预算单位，下设11个科室，分别是：办公室、国库科、预算科、文行科、社保科、经建科、农业农村科、金融科、国资中心、综合科、会计科。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2024年度收入总计956.54万元，</w:t>
      </w:r>
      <w:r>
        <w:rPr>
          <w:rFonts w:ascii="仿宋_GB2312" w:hAnsi="仿宋_GB2312" w:eastAsia="仿宋_GB2312"/>
          <w:b w:val="0"/>
          <w:sz w:val="32"/>
        </w:rPr>
        <w:t>其中：本年收入合计942.77万元，使用非财政拨款结余（含专用结余）0.00万元，年初结转和结余13.77万元。</w:t>
      </w:r>
    </w:p>
    <w:p>
      <w:pPr>
        <w:spacing w:line="580" w:lineRule="exact"/>
        <w:ind w:firstLine="640"/>
        <w:jc w:val="both"/>
      </w:pPr>
      <w:r>
        <w:rPr>
          <w:rFonts w:ascii="仿宋_GB2312" w:hAnsi="仿宋_GB2312" w:eastAsia="仿宋_GB2312"/>
          <w:b/>
          <w:sz w:val="32"/>
        </w:rPr>
        <w:t>2024年度支出总计956.54万元，</w:t>
      </w:r>
      <w:r>
        <w:rPr>
          <w:rFonts w:ascii="仿宋_GB2312" w:hAnsi="仿宋_GB2312" w:eastAsia="仿宋_GB2312"/>
          <w:b w:val="0"/>
          <w:sz w:val="32"/>
        </w:rPr>
        <w:t>其中：本年支出合计943.01万元，结余分配0.00万元，年末结转和结余13.53万元。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增加61.02万元，增长6.81%，主要原因是：本年在职人员工资调增，社保、公积金基数调增，人员经费增加。本年委托业务费较上年增加。本年退休人员增加，退休费支出增加。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本年收入942.77万元，</w:t>
      </w:r>
      <w:r>
        <w:rPr>
          <w:rFonts w:ascii="仿宋_GB2312" w:hAnsi="仿宋_GB2312" w:eastAsia="仿宋_GB2312"/>
          <w:b w:val="0"/>
          <w:sz w:val="32"/>
        </w:rPr>
        <w:t>其中：财政拨款收入942.73万元，占100.00%；上级补助收入0.00万元，占0.00%；事业收入0.00万元，占0.00%；经营收入0.00万元，占0.00%；附属单位上缴收入0.00万元，占0.00%；其他收入0.04万元，占0.004%。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本年支出943.01万元，</w:t>
      </w:r>
      <w:r>
        <w:rPr>
          <w:rFonts w:ascii="仿宋_GB2312" w:hAnsi="仿宋_GB2312" w:eastAsia="仿宋_GB2312"/>
          <w:b w:val="0"/>
          <w:sz w:val="32"/>
        </w:rPr>
        <w:t>其中：基本支出943.01万元，占100.00%；项目支出0.00万元，占0.00%；上缴上级支出0.00万元，占0.00%；经营支出0.00万元，占0.00%；对附属单位补助支出0.00万元，占0.00%。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2024年度财政拨款收入总计942.73万元，</w:t>
      </w:r>
      <w:r>
        <w:rPr>
          <w:rFonts w:ascii="仿宋_GB2312" w:hAnsi="仿宋_GB2312" w:eastAsia="仿宋_GB2312"/>
          <w:b w:val="0"/>
          <w:sz w:val="32"/>
        </w:rPr>
        <w:t>其中：年初财政拨款结转和结余0.00万元，本年财政拨款收入942.73万元。</w:t>
      </w:r>
      <w:r>
        <w:rPr>
          <w:rFonts w:ascii="仿宋_GB2312" w:hAnsi="仿宋_GB2312" w:eastAsia="仿宋_GB2312"/>
          <w:b/>
          <w:sz w:val="32"/>
        </w:rPr>
        <w:t>财政拨款支出总计942.73万元，</w:t>
      </w:r>
      <w:r>
        <w:rPr>
          <w:rFonts w:ascii="仿宋_GB2312" w:hAnsi="仿宋_GB2312" w:eastAsia="仿宋_GB2312"/>
          <w:b w:val="0"/>
          <w:sz w:val="32"/>
        </w:rPr>
        <w:t>其中：年末财政拨款结转和结余0.00万元，本年财政拨款支出942.73万元。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增加72.59万元，增长8.34%，主要原因是：本年在职人员工资调增，社保、公积金基数调增，人员经费增加。本年委托业务费较上年增加。本年退休人员增加，退休费支出增加。</w:t>
      </w:r>
      <w:r>
        <w:rPr>
          <w:rFonts w:ascii="仿宋_GB2312" w:hAnsi="仿宋_GB2312" w:eastAsia="仿宋_GB2312"/>
          <w:b/>
          <w:sz w:val="32"/>
        </w:rPr>
        <w:t>与年初预算相比，</w:t>
      </w:r>
      <w:r>
        <w:rPr>
          <w:rFonts w:ascii="仿宋_GB2312" w:hAnsi="仿宋_GB2312" w:eastAsia="仿宋_GB2312"/>
          <w:b w:val="0"/>
          <w:sz w:val="32"/>
        </w:rPr>
        <w:t>年初预算数868.78万元，决算数942.73万元，预决算差异率8.51%，主要原因是：年中追加人员工资、社保、公积金基数调增部分资金，导致预决算存在差异。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2024年度一般公共预算财政拨款支出942.73万元，</w:t>
      </w:r>
      <w:r>
        <w:rPr>
          <w:rFonts w:ascii="仿宋_GB2312" w:hAnsi="仿宋_GB2312" w:eastAsia="仿宋_GB2312"/>
          <w:b w:val="0"/>
          <w:sz w:val="32"/>
        </w:rPr>
        <w:t>占本年支出合计的99.97%。</w:t>
      </w:r>
      <w:r>
        <w:rPr>
          <w:rFonts w:ascii="仿宋_GB2312" w:hAnsi="仿宋_GB2312" w:eastAsia="仿宋_GB2312"/>
          <w:b/>
          <w:sz w:val="32"/>
        </w:rPr>
        <w:t>与上年相比，</w:t>
      </w:r>
      <w:r>
        <w:rPr>
          <w:rFonts w:ascii="仿宋_GB2312" w:hAnsi="仿宋_GB2312" w:eastAsia="仿宋_GB2312"/>
          <w:b w:val="0"/>
          <w:sz w:val="32"/>
        </w:rPr>
        <w:t>增加72.59万元，增长8.34%，主要原因是：本年在职人员工资调增，社保、公积金基数调增，人员经费增加。本年委托业务费较上年增加。本年退休人员增加，退休费支出增加。</w:t>
      </w:r>
      <w:r>
        <w:rPr>
          <w:rFonts w:ascii="仿宋_GB2312" w:hAnsi="仿宋_GB2312" w:eastAsia="仿宋_GB2312"/>
          <w:b/>
          <w:sz w:val="32"/>
        </w:rPr>
        <w:t>与年初预算相比,</w:t>
      </w:r>
      <w:r>
        <w:rPr>
          <w:rFonts w:ascii="仿宋_GB2312" w:hAnsi="仿宋_GB2312" w:eastAsia="仿宋_GB2312"/>
          <w:b w:val="0"/>
          <w:sz w:val="32"/>
        </w:rPr>
        <w:t>年初预算数868.78万元，决算数942.73万元，预决算差异率8.51%，主要原因是：年中追加人员工资、社保、公积金基数调增部分资金，导致预决算存在差异。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1.一般公共服务支出(类)740.62万元,占78.56%。</w:t>
      </w:r>
    </w:p>
    <w:p>
      <w:pPr>
        <w:spacing w:line="580" w:lineRule="exact"/>
        <w:ind w:firstLine="640"/>
        <w:jc w:val="both"/>
      </w:pPr>
      <w:r>
        <w:rPr>
          <w:rFonts w:ascii="仿宋_GB2312" w:hAnsi="仿宋_GB2312" w:eastAsia="仿宋_GB2312"/>
          <w:b w:val="0"/>
          <w:sz w:val="32"/>
        </w:rPr>
        <w:t>2.社会保障和就业支出(类)111.48万元,占11.83%。</w:t>
      </w:r>
    </w:p>
    <w:p>
      <w:pPr>
        <w:spacing w:line="580" w:lineRule="exact"/>
        <w:ind w:firstLine="640"/>
        <w:jc w:val="both"/>
      </w:pPr>
      <w:r>
        <w:rPr>
          <w:rFonts w:ascii="仿宋_GB2312" w:hAnsi="仿宋_GB2312" w:eastAsia="仿宋_GB2312"/>
          <w:b w:val="0"/>
          <w:sz w:val="32"/>
        </w:rPr>
        <w:t>3.卫生健康支出(类)36.11万元,占3.83%。</w:t>
      </w:r>
    </w:p>
    <w:p>
      <w:pPr>
        <w:spacing w:line="580" w:lineRule="exact"/>
        <w:ind w:firstLine="640"/>
        <w:jc w:val="both"/>
      </w:pPr>
      <w:r>
        <w:rPr>
          <w:rFonts w:ascii="仿宋_GB2312" w:hAnsi="仿宋_GB2312" w:eastAsia="仿宋_GB2312"/>
          <w:b w:val="0"/>
          <w:sz w:val="32"/>
        </w:rPr>
        <w:t>4.住房保障支出(类)54.52万元,占5.78%。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1.一般公共服务支出(类)财政事务(款)行政运行(项):支出决算数为520.55万元，比上年决算减少61.85万元，下降10.62%,主要原因是：本年在职人员减少，相应人员经费较上年减少。</w:t>
      </w:r>
    </w:p>
    <w:p>
      <w:pPr>
        <w:spacing w:line="580" w:lineRule="exact"/>
        <w:ind w:firstLine="640"/>
        <w:jc w:val="both"/>
      </w:pPr>
      <w:r>
        <w:rPr>
          <w:rFonts w:ascii="仿宋_GB2312" w:hAnsi="仿宋_GB2312" w:eastAsia="仿宋_GB2312"/>
          <w:b w:val="0"/>
          <w:sz w:val="32"/>
        </w:rPr>
        <w:t>2.一般公共服务支出(类)财政事务(款)其他财政事务支出(项):支出决算数为220.07万元，比上年决算增加103.90万元，增长89.44%,主要原因是：本年委托业务费较上年增加。</w:t>
      </w:r>
    </w:p>
    <w:p>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3.社会保障和就业支出(类)行政事业单位养老支出(款)行政单位离退休(项):支出决算数为14.39万元，比上年决算增加3.00万元，增长26.34%,主要原因是：本年退休人员增加，退休费支出增加。</w:t>
      </w:r>
    </w:p>
    <w:p>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2.24万元，比上年决算增加2.24万元，增长100.00%,主要原因是：本年功能科目调整，事业单位离退休上年度在主科目列支，本年单独列支，导致经费较上年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70.04万元，比上年决算增加2.45万元，增长3.62%,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6.社会保障和就业支出(类)行政事业单位养老支出(款)机关事业单位职业年金缴费支出(项):支出决算数为24.81万元，比上年决算增加18.28万元，增长279.94%,主要原因是：本年新增退休人员，职业年金缴费支出增加。</w:t>
      </w:r>
    </w:p>
    <w:p>
      <w:pPr>
        <w:spacing w:line="580" w:lineRule="exact"/>
        <w:ind w:firstLine="640"/>
        <w:jc w:val="both"/>
      </w:pPr>
      <w:r>
        <w:rPr>
          <w:rFonts w:ascii="仿宋_GB2312" w:hAnsi="仿宋_GB2312" w:eastAsia="仿宋_GB2312"/>
          <w:b w:val="0"/>
          <w:sz w:val="32"/>
        </w:rPr>
        <w:t>7.卫生健康支出(类)行政事业单位医疗(款)行政单位医疗(项):支出决算数为22.42万元，比上年决算增加3.26万元，增长17.01%,主要原因是：本年在职人员工资基数调增，医疗缴费基数上涨，相应支出增加。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8.卫生健康支出(类)行政事业单位医疗(款)事业单位医疗(项):支出决算数为13.09万元，比上年决算增加1.69万元，增长14.82%,主要原因是：本年在职人员工资基数调增，医疗缴费基数上涨，相应支出增加。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9.卫生健康支出(类)行政事业单位医疗(款)公务员医疗补助(项):支出决算数为0.61万元，比上年决算减少0.18万元，下降22.78%,主要原因是：本年在职人员减少，公务员医疗补助较上年减少。</w:t>
      </w:r>
    </w:p>
    <w:p>
      <w:pPr>
        <w:spacing w:line="580" w:lineRule="exact"/>
        <w:ind w:firstLine="640"/>
        <w:jc w:val="both"/>
      </w:pPr>
      <w:r>
        <w:rPr>
          <w:rFonts w:ascii="仿宋_GB2312" w:hAnsi="仿宋_GB2312" w:eastAsia="仿宋_GB2312"/>
          <w:b w:val="0"/>
          <w:sz w:val="32"/>
        </w:rPr>
        <w:t>10.住房保障支出(类)住房改革支出(款)住房公积金(项):支出决算数为54.52万元，比上年决算减少0.18万元，下降0.33%,主要原因是：本年在职人员减少，住房公积金缴费较上年减少。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2024年度一般公共预算财政拨款基本支出942.73万元，其中：</w:t>
      </w:r>
      <w:r>
        <w:rPr>
          <w:rFonts w:ascii="仿宋_GB2312" w:hAnsi="仿宋_GB2312" w:eastAsia="仿宋_GB2312"/>
          <w:b/>
          <w:sz w:val="32"/>
        </w:rPr>
        <w:t>人员经费744.13万元，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奖励金。</w:t>
      </w:r>
    </w:p>
    <w:p>
      <w:pPr>
        <w:spacing w:line="580" w:lineRule="exact"/>
        <w:ind w:firstLine="640"/>
        <w:jc w:val="both"/>
      </w:pPr>
      <w:r>
        <w:rPr>
          <w:rFonts w:ascii="仿宋_GB2312" w:hAnsi="仿宋_GB2312" w:eastAsia="仿宋_GB2312"/>
          <w:b/>
          <w:sz w:val="32"/>
        </w:rPr>
        <w:t>公用经费198.60万元，</w:t>
      </w:r>
      <w:r>
        <w:rPr>
          <w:rFonts w:ascii="仿宋_GB2312" w:hAnsi="仿宋_GB2312" w:eastAsia="仿宋_GB2312"/>
          <w:b w:val="0"/>
          <w:sz w:val="32"/>
        </w:rPr>
        <w:t>包括：办公费、印刷费、水费、电费、邮电费、差旅费、劳务费、委托业务费、其他交通费用。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2024年度尼勒克县财政局本级（行政单位和参照公务员法管理事业单位）机关运行经费支出198.60万元，比上年增加111.33万元，增长127.57%，主要原因是：本年增加委托业务费，导致公用经费增加。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2024年度政府采购支出总额163.42万元，其中：政府采购货物支出0.28万元、政府采购工程支出0.00万元、政府采购服务支出163.14万元。</w:t>
      </w:r>
    </w:p>
    <w:p>
      <w:pPr>
        <w:spacing w:line="580" w:lineRule="exact"/>
        <w:ind w:firstLine="640"/>
        <w:jc w:val="both"/>
      </w:pPr>
      <w:r>
        <w:rPr>
          <w:rFonts w:ascii="仿宋_GB2312" w:hAnsi="仿宋_GB2312" w:eastAsia="仿宋_GB2312"/>
          <w:b w:val="0"/>
          <w:sz w:val="32"/>
        </w:rPr>
        <w:t>授予中小企业合同金额161.48万元，占政府采购支出总额的98.81%，其中：授予小微企业合同金额12.28万元，占政府采购支出总额的7.51%。</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224.00平方米，价值10.40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943.01万元，实际执行总额943.01万元；预算绩效评价项目3个，全年预算数142.32万元，全年执行数142.32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意识不高，对于指标的编制还不够完善。评价工作还存在自我审定的局限性，影响评价质量。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尼勒克县财政局本级</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873.13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943.01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943.01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855.43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942.73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942.73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17.70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0.28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0.28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坚持以习近平新时代中国特色社会主义思想为指引，深入贯彻党的二十大，对标习近平总书记重要讲话精神和自治区党委十届十次全会、伊犁州党委工作会议各项工作部署和具体要求，完成尼勒克县财政各项工作。坚持稳中求进工作总基调，统筹推进稳增长、促改革、调结构、惠民生、防风险、保稳定各项工作，扎实做好“六稳”工作，全面落实“六保”任务，优化财政支出结构，为促进全县经济社会持续健康发展做出应有的贡献。一、在财政增收上下功夫。初步预测2024年一般公共预算收入目标任务为53760万元，同比增长13%；二、强化预算管理，树牢“过紧日子”思想，压减一切不必要支出；三、紧盯2024年政府债券储备项目工作，积极与上级部门对接，全力以赴争取资金。</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指导预算、决算等财务工作单位数量达到121家，全过程监管绩效管理单位数量达到121家，开展财政业务培训次数达到121次，保障财政大平台工作单位运行数量达到121家，预算、决算公开及时率达到100%。统筹推进稳增长、促改革、调结构、惠民生、防风险、保稳定各项工作，扎实做好“六稳”工作，全面落实“六保”任务，优化财政支出结构，为促进全县经济社会持续健康发展做出应有的贡献。</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指标1：指导预算、决算等财务工作单位数量</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=121家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121家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指标2：全过程监管绩效管理单位数量</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=121家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121家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指标3：开展财政业务培训次数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&gt;=5次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指标5：保障财政大平台工作单位运行数量</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&gt;=121家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121家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指标4：预算、决算公开及时率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尼勒克县财政局本级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尼勒克县财政局本级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0.28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0.28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0.28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0.28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0.28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坚持以习近平新时代中国特色社会主义思想为指引，深入贯彻党的二十大，对标习近平总书记重要讲话精神和自治区党委十届十次全会、伊犁州党委工作会议各项工作部署和具体要求，完成尼勒克县财政各项工作。主要用于购买日常办公用品，公务用车充电维修，报销出差人员的差旅费等保障工作。</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保障工作人员数量达到48人，保障业务用车数量达到2辆，资金支付准确率达到100%，公用经费支付及时率达到100%，项目实际支出0.28万元，通过项目的实施，促进社会经济可持续发展。</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指标1：保障工作人员数量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指标2：保障业务用车数量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指标1：公用经费支付及时率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指标1：人均运转经费数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&lt;=0.28万元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0.28万元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指标2：项目预算控制率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指标1：促进社会经济可持续发展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财政专项业务经费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尼勒克县财政局本级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尼勒克县财政局本级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94.04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94.04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94.04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94.04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94.04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94.04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坚持以习近平新时代中国特色社会主义思想为指引，深入贯彻党的二十大，对标习近平总书记重要讲话精神和自治区党委十届十次全会、伊犁州党委工作会议各项工作部署和具体要求，完成尼勒克县财政各项工作。坚持稳中求进工作总基调，统筹推进稳增长、促改革、调结构、惠民生、防风险、保稳定各项工作，扎实做好“六稳”工作，全面落实“六保”任务，优化财政支出结构，为促进全县经济社会持续健康发展做出应有的贡献。</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购买第三方服务类别数达到3类，保障工作人员数达到48人，第三方服务质量合格率达到100%，资金支付准确率达到100%，项目实际支付94.04万元，通过项目的实施，项目受益预算单位数达到121家。</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指标1：购买第三方服务类别数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指标2：保障工作人员数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指标1：第三方服务质量合格率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指标1：购买第三方服务成本控制数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&lt;=71万元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指标2：运行成本控制数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&lt;=23.04万元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23.04万元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指标1：项目受益预算单位数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=121家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121家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2023年预算绩效服务费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尼勒克县财政局本级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尼勒克县财政局本级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尼勒克县财政局委托新疆天意有限责任会计事务所对尼勒克县预算单位2023年度预算绩效管理工作，包括2023年项目绩效目标设置、监控、评价工作；2023年部门和单位整体支出绩效目标设置、监控、评价工作；重点项目绩效评价等与预算绩效相关的所有工作。</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购买第三方服务类别1类，第三方服务质量合格率达到100%，资金支付准确率达到100%，项目完成时限为2024年7月，项目完成及时率达到100%，通过项目的实施，项目受益预算单位数达到126个，受益单位满意度达到98.15%。</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指标1：购买第三方服务类别</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指标1：第三方服务质量合格率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指标1：项目完成时限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=2024年7月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2024年7月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指标2：项目完成及时率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指标1：项目受益预算单位数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=126个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126个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指标1：受益单位满意度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