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尼勒克县苏布台乡中心小学2024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党的教育方针政策，负责全校教学事务的贯彻、落实，指导和协调教务系统各科室的教学及相关技术改造、建设等工作；起草学校工作计划、工作总结、报告、决议、通知、规章制度，审核以学校党政名义上报和下发的各类文件，及时完成文件宣传、落实的任务；深化教育教学改革，全面推进素质教育，促进教学质量提高，发展学生的综做好学校党的建设工作，按照干部管理权限，负责干部推荐工作，指导学校工会、少先队等群众组织工作，关心教职工的思想动态和文化生活，帮助教职工解决生活中的困难和问题。对发生重大事故的家庭及时慰问并家访，抓好学校精神文明建设；加强德育工作队伍建设，做好班主任培训工作，与工会、共青团组织密切配合，开展师德教育，提高教师职业道德水平，指导班主任制定工作计划，并制定考核、督导、检查、总结和交流经验。全面落实学校安全工作责任制，层层签订学校安全工作责任书，把学校安全工作任务分解到各处室、部门和岗位，并负责检查、督导落实，制定学校设施设备安全管理工作规章制度，做好学校设备设施安全管理工作强化教育科学研究工作，开展教育教学研究；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尼勒克县苏布台乡中心小学2024年度，实有人数212人，其中：在职人员148人，减少16人；离休人员0人，增加0人；退休人员64人,减少2人。</w:t>
      </w:r>
    </w:p>
    <w:p>
      <w:pPr>
        <w:spacing w:line="580" w:lineRule="exact"/>
        <w:ind w:firstLine="640"/>
        <w:jc w:val="both"/>
      </w:pPr>
      <w:r>
        <w:rPr>
          <w:rFonts w:ascii="仿宋_GB2312" w:hAnsi="仿宋_GB2312" w:eastAsia="仿宋_GB2312"/>
          <w:sz w:val="32"/>
        </w:rPr>
        <w:t>尼勒克县苏布台乡中心小学无下属预算单位，下设5个科室，分别是：教务室、党建办、财务室、德育室、办公室。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2024年度收入总计3,046.44万元，</w:t>
      </w:r>
      <w:r>
        <w:rPr>
          <w:rFonts w:ascii="仿宋_GB2312" w:hAnsi="仿宋_GB2312" w:eastAsia="仿宋_GB2312"/>
          <w:b w:val="0"/>
          <w:sz w:val="32"/>
        </w:rPr>
        <w:t>其中：本年收入合计3,042.90万元，使用非财政拨款结余（含专用结余）0.00万元，年初结转和结余3.54万元。</w:t>
      </w:r>
    </w:p>
    <w:p>
      <w:pPr>
        <w:spacing w:line="580" w:lineRule="exact"/>
        <w:ind w:firstLine="640"/>
        <w:jc w:val="both"/>
      </w:pPr>
      <w:r>
        <w:rPr>
          <w:rFonts w:ascii="仿宋_GB2312" w:hAnsi="仿宋_GB2312" w:eastAsia="仿宋_GB2312"/>
          <w:b/>
          <w:sz w:val="32"/>
        </w:rPr>
        <w:t>2024年度支出总计3,046.44万元，</w:t>
      </w:r>
      <w:r>
        <w:rPr>
          <w:rFonts w:ascii="仿宋_GB2312" w:hAnsi="仿宋_GB2312" w:eastAsia="仿宋_GB2312"/>
          <w:b w:val="0"/>
          <w:sz w:val="32"/>
        </w:rPr>
        <w:t>其中：本年支出合计3,036.19万元，结余分配0.00万元，年末结转和结余10.25万元。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增加37.23万元，增长1.24%，主要原因是：本年在职人员工资调增，社保、公积金基数调增，2021年-2023年保教费及学前伙食费县配套部分在本年支出。发放2023年度秋季托管费，相应收入支出增加。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本年收入3,042.90万元，</w:t>
      </w:r>
      <w:r>
        <w:rPr>
          <w:rFonts w:ascii="仿宋_GB2312" w:hAnsi="仿宋_GB2312" w:eastAsia="仿宋_GB2312"/>
          <w:b w:val="0"/>
          <w:sz w:val="32"/>
        </w:rPr>
        <w:t>其中：财政拨款收入3,010.67万元，占98.94%；上级补助收入0.00万元，占0.00%；事业收入0.00万元，占0.00%；经营收入0.00万元，占0.00%；附属单位上缴收入0.00万元，占0.00%；其他收入32.23万元，占1.06%。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本年支出3,036.19万元，</w:t>
      </w:r>
      <w:r>
        <w:rPr>
          <w:rFonts w:ascii="仿宋_GB2312" w:hAnsi="仿宋_GB2312" w:eastAsia="仿宋_GB2312"/>
          <w:b w:val="0"/>
          <w:sz w:val="32"/>
        </w:rPr>
        <w:t>其中：基本支出3,036.19万元，占100.00%；项目支出0.00万元，占0.00%；上缴上级支出0.00万元，占0.00%；经营支出0.00万元，占0.00%；对附属单位补助支出0.00万元，占0.00%。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2024年度财政拨款收入总计3,010.67万元，</w:t>
      </w:r>
      <w:r>
        <w:rPr>
          <w:rFonts w:ascii="仿宋_GB2312" w:hAnsi="仿宋_GB2312" w:eastAsia="仿宋_GB2312"/>
          <w:b w:val="0"/>
          <w:sz w:val="32"/>
        </w:rPr>
        <w:t>其中：年初财政拨款结转和结余0.00万元，本年财政拨款收入3,010.67万元。</w:t>
      </w:r>
      <w:r>
        <w:rPr>
          <w:rFonts w:ascii="仿宋_GB2312" w:hAnsi="仿宋_GB2312" w:eastAsia="仿宋_GB2312"/>
          <w:b/>
          <w:sz w:val="32"/>
        </w:rPr>
        <w:t>财政拨款支出总计3,010.67万元，</w:t>
      </w:r>
      <w:r>
        <w:rPr>
          <w:rFonts w:ascii="仿宋_GB2312" w:hAnsi="仿宋_GB2312" w:eastAsia="仿宋_GB2312"/>
          <w:b w:val="0"/>
          <w:sz w:val="32"/>
        </w:rPr>
        <w:t>其中：年末财政拨款结转和结余0.00万元，本年财政拨款支出3,010.67万元。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增加16.85万元，增长0.56%，主要原因是：本年在职人员工资调增，社保、公积金基数调增，2021年-2023年保教费及学前伙食费县配套部分在本年支出，相应财政拨款收入支出增加。</w:t>
      </w:r>
      <w:r>
        <w:rPr>
          <w:rFonts w:ascii="仿宋_GB2312" w:hAnsi="仿宋_GB2312" w:eastAsia="仿宋_GB2312"/>
          <w:b/>
          <w:sz w:val="32"/>
        </w:rPr>
        <w:t>与年初预算相比，</w:t>
      </w:r>
      <w:r>
        <w:rPr>
          <w:rFonts w:ascii="仿宋_GB2312" w:hAnsi="仿宋_GB2312" w:eastAsia="仿宋_GB2312"/>
          <w:b w:val="0"/>
          <w:sz w:val="32"/>
        </w:rPr>
        <w:t>年初预算数2,981.33万元，决算数3,010.67万元，预决算差异率0.98%，主要原因是：本年在职人员工资调增，社保、公积金基数调增，年中追加幼儿伙食、寄宿生生活补助、营养餐，取暖费等导致预决算存在差异。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2024年度一般公共预算财政拨款支出3,009.45万元，</w:t>
      </w:r>
      <w:r>
        <w:rPr>
          <w:rFonts w:ascii="仿宋_GB2312" w:hAnsi="仿宋_GB2312" w:eastAsia="仿宋_GB2312"/>
          <w:b w:val="0"/>
          <w:sz w:val="32"/>
        </w:rPr>
        <w:t>占本年支出合计的99.12%。</w:t>
      </w:r>
      <w:r>
        <w:rPr>
          <w:rFonts w:ascii="仿宋_GB2312" w:hAnsi="仿宋_GB2312" w:eastAsia="仿宋_GB2312"/>
          <w:b/>
          <w:sz w:val="32"/>
        </w:rPr>
        <w:t>与上年相比，</w:t>
      </w:r>
      <w:r>
        <w:rPr>
          <w:rFonts w:ascii="仿宋_GB2312" w:hAnsi="仿宋_GB2312" w:eastAsia="仿宋_GB2312"/>
          <w:b w:val="0"/>
          <w:sz w:val="32"/>
        </w:rPr>
        <w:t>增加16.63万元，增长0.56%，主要原因是：本年在职人员工资调增，社保、公积金基数调增，2021年-2023年保教费及学前伙食费县配套部分在本年支出，相应支出增加。</w:t>
      </w:r>
      <w:r>
        <w:rPr>
          <w:rFonts w:ascii="仿宋_GB2312" w:hAnsi="仿宋_GB2312" w:eastAsia="仿宋_GB2312"/>
          <w:b/>
          <w:sz w:val="32"/>
        </w:rPr>
        <w:t>与年初预算相比,</w:t>
      </w:r>
      <w:r>
        <w:rPr>
          <w:rFonts w:ascii="仿宋_GB2312" w:hAnsi="仿宋_GB2312" w:eastAsia="仿宋_GB2312"/>
          <w:b w:val="0"/>
          <w:sz w:val="32"/>
        </w:rPr>
        <w:t>年初预算数2,978.33万元，决算数3,009.45万元，预决算差异率1.04%，主要原因是：年中追加工资调增、社保基数调增，追加幼儿伙食、寄宿生生活补助、营养餐，取暖费导致预决算存在差异。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1.教育支出(类)2,421.34万元,占80.46%。</w:t>
      </w:r>
    </w:p>
    <w:p>
      <w:pPr>
        <w:spacing w:line="580" w:lineRule="exact"/>
        <w:ind w:firstLine="640"/>
        <w:jc w:val="both"/>
      </w:pPr>
      <w:r>
        <w:rPr>
          <w:rFonts w:ascii="仿宋_GB2312" w:hAnsi="仿宋_GB2312" w:eastAsia="仿宋_GB2312"/>
          <w:b w:val="0"/>
          <w:sz w:val="32"/>
        </w:rPr>
        <w:t>2.社会保障和就业支出(类)295.10万元,占9.81%。</w:t>
      </w:r>
    </w:p>
    <w:p>
      <w:pPr>
        <w:spacing w:line="580" w:lineRule="exact"/>
        <w:ind w:firstLine="640"/>
        <w:jc w:val="both"/>
      </w:pPr>
      <w:r>
        <w:rPr>
          <w:rFonts w:ascii="仿宋_GB2312" w:hAnsi="仿宋_GB2312" w:eastAsia="仿宋_GB2312"/>
          <w:b w:val="0"/>
          <w:sz w:val="32"/>
        </w:rPr>
        <w:t>3.卫生健康支出(类)88.38万元,占2.94%。</w:t>
      </w:r>
    </w:p>
    <w:p>
      <w:pPr>
        <w:spacing w:line="580" w:lineRule="exact"/>
        <w:ind w:firstLine="640"/>
        <w:jc w:val="both"/>
      </w:pPr>
      <w:r>
        <w:rPr>
          <w:rFonts w:ascii="仿宋_GB2312" w:hAnsi="仿宋_GB2312" w:eastAsia="仿宋_GB2312"/>
          <w:b w:val="0"/>
          <w:sz w:val="32"/>
        </w:rPr>
        <w:t>4.住房保障支出(类)204.63万元,占6.80%。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530.74万元，比上年决算增加45.28万元，增长9.33%,主要原因是：本年在职人员工资调增，社保调增，2021年-2023年保教费及学前伙食费县配套部分在本年支出，相应支出增加。</w:t>
      </w:r>
    </w:p>
    <w:p>
      <w:pPr>
        <w:spacing w:line="580" w:lineRule="exact"/>
        <w:ind w:firstLine="640"/>
        <w:jc w:val="both"/>
      </w:pPr>
      <w:r>
        <w:rPr>
          <w:rFonts w:ascii="仿宋_GB2312" w:hAnsi="仿宋_GB2312" w:eastAsia="仿宋_GB2312"/>
          <w:b w:val="0"/>
          <w:sz w:val="32"/>
        </w:rPr>
        <w:t>2.教育支出(类)普通教育(款)小学教育(项):支出决算数为1,558.70万元，比上年决算减少60.71万元，下降3.75%,主要原因是：本年小学在职人员减少，人员经费相应支出减少。</w:t>
      </w:r>
    </w:p>
    <w:p>
      <w:pPr>
        <w:spacing w:line="580" w:lineRule="exact"/>
        <w:ind w:firstLine="640"/>
        <w:jc w:val="both"/>
      </w:pPr>
      <w:r>
        <w:rPr>
          <w:rFonts w:ascii="仿宋_GB2312" w:hAnsi="仿宋_GB2312" w:eastAsia="仿宋_GB2312"/>
          <w:b w:val="0"/>
          <w:sz w:val="32"/>
        </w:rPr>
        <w:t>3.教育支出(类)普通教育(款)初中教育(项):支出决算数为331.90万元，比上年决算减少16.70万元，下降4.79%,主要原因是：本年初中在职人员减少，人员经费相应支出减少。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4.社会保障和就业支出(类)行政事业单位养老支出(款)事业单位离退休(项):支出决算数为44.63万元，比上年决算增加14.27万元，增长47.00%,主要原因是：2024年增加退休人员基础性绩效奖，退休费增加。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217.84万元，比上年决算增加7.53万元，增长3.58%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7.42万元，比上年决算减少8.46万元，下降53.27%,主要原因是：2024年度较上年相比退休人员减少，职业年金缴费减少。</w:t>
      </w:r>
    </w:p>
    <w:p>
      <w:pPr>
        <w:spacing w:line="580" w:lineRule="exact"/>
        <w:ind w:firstLine="640"/>
        <w:jc w:val="both"/>
      </w:pPr>
      <w:r>
        <w:rPr>
          <w:rFonts w:ascii="仿宋_GB2312" w:hAnsi="仿宋_GB2312" w:eastAsia="仿宋_GB2312"/>
          <w:b w:val="0"/>
          <w:sz w:val="32"/>
        </w:rPr>
        <w:t>7.社会保障和就业支出(类)抚恤(款)死亡抚恤(项):支出决算数为25.21万元，比上年决算增加25.21万元，增长100.00%,主要原因是：本年新增死亡人员，死亡抚恤支出增加。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88.38万元，比上年决算减少23.46万元，下降20.98%,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9.住房保障支出(类)住房改革支出(款)住房公积金(项):支出决算数为204.63万元，比上年决算增加33.67万元，增长19.69%,主要原因是：本年在职人员工资基数调增，住房公积金缴费基数上涨，相应支出增加。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2024年度一般公共预算财政拨款基本支出3,009.45万元，其中：</w:t>
      </w:r>
      <w:r>
        <w:rPr>
          <w:rFonts w:ascii="仿宋_GB2312" w:hAnsi="仿宋_GB2312" w:eastAsia="仿宋_GB2312"/>
          <w:b/>
          <w:sz w:val="32"/>
        </w:rPr>
        <w:t>人员经费2,871.45万元，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公用经费138.00万元，</w:t>
      </w:r>
      <w:r>
        <w:rPr>
          <w:rFonts w:ascii="仿宋_GB2312" w:hAnsi="仿宋_GB2312" w:eastAsia="仿宋_GB2312"/>
          <w:b w:val="0"/>
          <w:sz w:val="32"/>
        </w:rPr>
        <w:t>包括：办公费、印刷费、水费、电费、邮电费、取暖费、物业管理费、维修（护）费、培训费、劳务费、其他交通费用、办公设备购置、专用设备购置。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2024年度政府性基金预算财政拨款收入总计1.22万元，</w:t>
      </w:r>
      <w:r>
        <w:rPr>
          <w:rFonts w:ascii="仿宋_GB2312" w:hAnsi="仿宋_GB2312" w:eastAsia="仿宋_GB2312"/>
          <w:b w:val="0"/>
          <w:sz w:val="32"/>
        </w:rPr>
        <w:t>其中：年初结转和结余0.00万元，本年收入1.22万元。</w:t>
      </w:r>
      <w:r>
        <w:rPr>
          <w:rFonts w:ascii="仿宋_GB2312" w:hAnsi="仿宋_GB2312" w:eastAsia="仿宋_GB2312"/>
          <w:b/>
          <w:sz w:val="32"/>
        </w:rPr>
        <w:t>政府性基金预算财政拨款支出总计1.22万元，</w:t>
      </w:r>
      <w:r>
        <w:rPr>
          <w:rFonts w:ascii="仿宋_GB2312" w:hAnsi="仿宋_GB2312" w:eastAsia="仿宋_GB2312"/>
          <w:b w:val="0"/>
          <w:sz w:val="32"/>
        </w:rPr>
        <w:t>其中：年末结转和结余0.00万元，本年支出1.22万元。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增加0.22万元，增长22.00%，主要原因是：本年度增加少年宫经费资金，相应支出增加。</w:t>
      </w:r>
      <w:r>
        <w:rPr>
          <w:rFonts w:ascii="仿宋_GB2312" w:hAnsi="仿宋_GB2312" w:eastAsia="仿宋_GB2312"/>
          <w:b/>
          <w:sz w:val="32"/>
        </w:rPr>
        <w:t>与年初预算相比，</w:t>
      </w:r>
      <w:r>
        <w:rPr>
          <w:rFonts w:ascii="仿宋_GB2312" w:hAnsi="仿宋_GB2312" w:eastAsia="仿宋_GB2312"/>
          <w:b w:val="0"/>
          <w:sz w:val="32"/>
        </w:rPr>
        <w:t>年初预算数3.00万元，决算数1.22万元，预决算差异率-59.33%，主要原因是：本年未全部使用少年宫经费，调减少年宫经费，导致预决算存在差异。</w:t>
      </w:r>
    </w:p>
    <w:p>
      <w:pPr>
        <w:spacing w:line="580" w:lineRule="exact"/>
        <w:ind w:firstLine="640"/>
        <w:jc w:val="both"/>
      </w:pPr>
      <w:r>
        <w:rPr>
          <w:rFonts w:ascii="仿宋_GB2312" w:hAnsi="仿宋_GB2312" w:eastAsia="仿宋_GB2312"/>
          <w:b w:val="0"/>
          <w:sz w:val="32"/>
        </w:rPr>
        <w:t>政府性基金预算财政拨款支出1.22万元。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1.其他支出(类)彩票公益金安排的支出(款)用于教育事业的彩票公益金支出(项):支出决算数为1.22万元，比上年决算增加0.22万元，增长22.00%,主要原因是：本年度增加少年宫经费资金，相应支出增加。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2024年度尼勒克县苏布台乡中心小学（事业单位）公用经费支出139.22万元，比上年增加15.16万元，增长12.22%，主要原因是：本年业务量增加，公用经费增加。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21,292.52平方米，价值1,488.13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3,036.19万元，实际执行总额3,036.19万元；预算绩效评价项目1个，全年预算数25.24万元，全年执行数25.24万元。预算绩效管理取得的成效：一是在过去一段时间，我校党建工作扎实推进，成果显著。理论武装方面：组织党员教师深入学习习近平新时代中国特色社会主义思想，开展12次专题学习会与4场主题党课，引导教师深刻领悟党的教育方针，增强立德树人使命感。组织建设持续优化，严格落实“三会一课”，规范开展组织生活会与民主评议党员，新发展[X]名党员，壮大党员队伍。党员先锋模范作用凸显，在教学改革、志愿服务中冲锋在前。活动开展有声有色，举办红色主题演讲比赛、参观红色教育基地等，激发师生爱国爱党热情，营造良好校园政治生态，为学校高质量发展提供坚实政治保障。二是本学期，我校秉持“德育为先”理念，全方位落实育人工作。教学上，深挖语文、思政等学科的德育元素，通过课堂讨论、情景模拟，将品德教育融入日常教学。以传统节日和纪念日为契机，开展多元活动。清明祭扫，激发学生爱国情；举办校园文化节，营造浓厚文化氛围，丰富学生课余生活。同时，重视家校社协同。定期举办家长培训，借助家长会、家访紧密沟通；组织学生参与社区志愿服务，增强其社会责任感。这些举措成效显著，学生文明素养提升，校园文明氛围浓厚，家校社合作更为紧密。但也存在不足，如活动创新性欠缺、评价体系不够多元。后续，我校将创新活动形式，完善评价机制，持续提升德育工作质量，促进学生全面成长。三是过去一学期，我校致力于提升教育教学质量，开展丰富活动，促进师生共同成长。发现的问题及原因：一是教学质量与及教育需求的结构性矛盾。新时代教育变革速度与教师能力更新节奏存在差异。教师的教学质量与家长不断增强的教育需之间有差距，面对AI教学工具、项目式学习等新模式存在应用断层，教师能力提升迫在眉睫。二是年龄结构失衡引发系统性风险。教师年龄日趋老龄化，学校没有新鲜血液注入，活力不强，导致教学创新动能衰竭，数字化教学设备闲置。下一步改进措施：一是加强学生的爱国主义教育、民族团结、法制教育、“三进两联一交友”活动等，开展丰富多彩的活动，让学生全面发展。提高师生整体素质，做好教师的培训工作，推动学校可持续发展。二是保障学生正常托管，减轻家长看管负担。增强教育服务能力，提高学生全面发展，及时支付教师托管费。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尼勒克县苏布台乡中心小学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3,035.14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3,036.19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3,036.19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123.67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175.21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175.21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2,821.47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2,835.46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2,835.46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1.加强学生的爱国主义教育、民族团结、法制教育、“三进两联一交友”活动等，“一交友”活动计划开展10次以上；      2.开展丰富多彩的活动，让学生全面发展，2024年学校计划开展大型校园活动4次；       3.全面贯彻执行党和国家有关教育工作的方针、政策和法规，执行自治区的教育法规、实施办法和管理条例，计划开展教研、教学活动8次以上； 4.提高师生整体素质，做好教师的培训工作，每年开展不少于4次教师培训，推动学校可持续发展。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大型校园活动次数达到4次，开展教研，教学活动次数达到8次，开展教师培训次数达到4次，开展“三进两联一交友”活动次数达到10次。开展丰富多彩的活动，让学生全面发展，提高师生整体素质，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指标1：开展大型校园活动次数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指标4：开展“三进两联一交友”活动次数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“三进两联一交友”活动实施方案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尼勒克县苏布台乡九年制中心学校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尼勒克县苏布台乡中心小学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保障学生正常托管，减轻家长看管负担。增强教育服务能力，提高学生全面发展，及时支付教师托管费。</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课后托管服务人数44人，课后托管社团成果展示次数达到2次，托管服务学生人数达到663人，托管学生覆盖率达到99%，项目实际支出25.24万元，通过项目的实施，提高学生课余时间利用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指标2：贫困生捐赠发放补助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&gt;=0.80万元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指标3：三代手续费发放标准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&gt;=0.36万元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