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尼勒克县胡吉尔台乡阿克塔斯小学2024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尼勒克县胡吉尔台乡阿克塔斯小学2024年度，实有人数80人，其中：在职人员51人，减少5人；离休人员0人，增加0人；退休人员29人,增加9人。</w:t>
      </w:r>
    </w:p>
    <w:p>
      <w:pPr>
        <w:spacing w:line="580" w:lineRule="exact"/>
        <w:ind w:firstLine="640"/>
        <w:jc w:val="both"/>
      </w:pPr>
      <w:r>
        <w:rPr>
          <w:rFonts w:ascii="仿宋_GB2312" w:hAnsi="仿宋_GB2312" w:eastAsia="仿宋_GB2312"/>
          <w:sz w:val="32"/>
        </w:rPr>
        <w:t>尼勒克县胡吉尔台乡阿克塔斯小学无下属预算单位，下设4个科室，分别是：办公室、财务室、教务处、党建办。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2024年度收入总计1,135.82万元，</w:t>
      </w:r>
      <w:r>
        <w:rPr>
          <w:rFonts w:ascii="仿宋_GB2312" w:hAnsi="仿宋_GB2312" w:eastAsia="仿宋_GB2312"/>
          <w:b w:val="0"/>
          <w:sz w:val="32"/>
        </w:rPr>
        <w:t>其中：本年收入合计1,126.12万元，使用非财政拨款结余（含专用结余）0.00万元，年初结转和结余9.70万元。</w:t>
      </w:r>
    </w:p>
    <w:p>
      <w:pPr>
        <w:spacing w:line="580" w:lineRule="exact"/>
        <w:ind w:firstLine="640"/>
        <w:jc w:val="both"/>
      </w:pPr>
      <w:r>
        <w:rPr>
          <w:rFonts w:ascii="仿宋_GB2312" w:hAnsi="仿宋_GB2312" w:eastAsia="仿宋_GB2312"/>
          <w:b/>
          <w:sz w:val="32"/>
        </w:rPr>
        <w:t>2024年度支出总计1,135.82万元，</w:t>
      </w:r>
      <w:r>
        <w:rPr>
          <w:rFonts w:ascii="仿宋_GB2312" w:hAnsi="仿宋_GB2312" w:eastAsia="仿宋_GB2312"/>
          <w:b w:val="0"/>
          <w:sz w:val="32"/>
        </w:rPr>
        <w:t>其中：本年支出合计1,126.06万元，结余分配0.00万元，年末结转和结余9.76万元。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减少121.15万元，下降9.64%，主要原因是：本年在职人员减少，相关人员经费减少，减少国营农牧场补缴社保资金，较上年减少。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本年收入1,126.12万元，</w:t>
      </w:r>
      <w:r>
        <w:rPr>
          <w:rFonts w:ascii="仿宋_GB2312" w:hAnsi="仿宋_GB2312" w:eastAsia="仿宋_GB2312"/>
          <w:b w:val="0"/>
          <w:sz w:val="32"/>
        </w:rPr>
        <w:t>其中：财政拨款收入1,105.11万元，占98.13%；上级补助收入0.00万元，占0.00%；事业收入0.00万元，占0.00%；经营收入0.00万元，占0.00%；附属单位上缴收入0.00万元，占0.00%；其他收入21.01万元，占1.87%。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本年支出1,126.06万元，</w:t>
      </w:r>
      <w:r>
        <w:rPr>
          <w:rFonts w:ascii="仿宋_GB2312" w:hAnsi="仿宋_GB2312" w:eastAsia="仿宋_GB2312"/>
          <w:b w:val="0"/>
          <w:sz w:val="32"/>
        </w:rPr>
        <w:t>其中：基本支出1,126.06万元，占100.00%；项目支出0.00万元，占0.00%；上缴上级支出0.00万元，占0.00%；经营支出0.00万元，占0.00%；对附属单位补助支出0.00万元，占0.00%。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2024年度财政拨款收入总计1,105.11万元，</w:t>
      </w:r>
      <w:r>
        <w:rPr>
          <w:rFonts w:ascii="仿宋_GB2312" w:hAnsi="仿宋_GB2312" w:eastAsia="仿宋_GB2312"/>
          <w:b w:val="0"/>
          <w:sz w:val="32"/>
        </w:rPr>
        <w:t>其中：年初财政拨款结转和结余0.00万元，本年财政拨款收入1,105.11万元。</w:t>
      </w:r>
      <w:r>
        <w:rPr>
          <w:rFonts w:ascii="仿宋_GB2312" w:hAnsi="仿宋_GB2312" w:eastAsia="仿宋_GB2312"/>
          <w:b/>
          <w:sz w:val="32"/>
        </w:rPr>
        <w:t>财政拨款支出总计1,105.11万元，</w:t>
      </w:r>
      <w:r>
        <w:rPr>
          <w:rFonts w:ascii="仿宋_GB2312" w:hAnsi="仿宋_GB2312" w:eastAsia="仿宋_GB2312"/>
          <w:b w:val="0"/>
          <w:sz w:val="32"/>
        </w:rPr>
        <w:t>其中：年末财政拨款结转和结余0.00万元，本年财政拨款支出1,105.11万元。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减少132.51万元，下降10.71%，主要原因是：本年在职人员减少，相关人员经费减少。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年初预算数1,047.73万元，决算数1,105.11万元，预决算差异率5.48%，主要原因是：年中追加人员工资、社保、公积金基数调增部分资金，导致预决算存在差异。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2024年度一般公共预算财政拨款支出1,105.11万元，</w:t>
      </w:r>
      <w:r>
        <w:rPr>
          <w:rFonts w:ascii="仿宋_GB2312" w:hAnsi="仿宋_GB2312" w:eastAsia="仿宋_GB2312"/>
          <w:b w:val="0"/>
          <w:sz w:val="32"/>
        </w:rPr>
        <w:t>占本年支出合计的98.14%。</w:t>
      </w:r>
      <w:r>
        <w:rPr>
          <w:rFonts w:ascii="仿宋_GB2312" w:hAnsi="仿宋_GB2312" w:eastAsia="仿宋_GB2312"/>
          <w:b/>
          <w:sz w:val="32"/>
        </w:rPr>
        <w:t>与上年相比，</w:t>
      </w:r>
      <w:r>
        <w:rPr>
          <w:rFonts w:ascii="仿宋_GB2312" w:hAnsi="仿宋_GB2312" w:eastAsia="仿宋_GB2312"/>
          <w:b w:val="0"/>
          <w:sz w:val="32"/>
        </w:rPr>
        <w:t>减少131.51万元，下降10.63%，主要原因是：本年在职人员减少，相关人员经费减少。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年初预算数1,044.73万元，决算数1,105.11万元，预决算差异率5.78%，主要原因是：年中追加人员工资、社保、公积金基数调增部分资金，导致预决算存在差异。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1.教育支出(类)826.34万元,占74.77%。</w:t>
      </w:r>
    </w:p>
    <w:p>
      <w:pPr>
        <w:spacing w:line="580" w:lineRule="exact"/>
        <w:ind w:firstLine="640"/>
        <w:jc w:val="both"/>
      </w:pPr>
      <w:r>
        <w:rPr>
          <w:rFonts w:ascii="仿宋_GB2312" w:hAnsi="仿宋_GB2312" w:eastAsia="仿宋_GB2312"/>
          <w:b w:val="0"/>
          <w:sz w:val="32"/>
        </w:rPr>
        <w:t>2.社会保障和就业支出(类)177.94万元,占16.10%。</w:t>
      </w:r>
    </w:p>
    <w:p>
      <w:pPr>
        <w:spacing w:line="580" w:lineRule="exact"/>
        <w:ind w:firstLine="640"/>
        <w:jc w:val="both"/>
      </w:pPr>
      <w:r>
        <w:rPr>
          <w:rFonts w:ascii="仿宋_GB2312" w:hAnsi="仿宋_GB2312" w:eastAsia="仿宋_GB2312"/>
          <w:b w:val="0"/>
          <w:sz w:val="32"/>
        </w:rPr>
        <w:t>3.卫生健康支出(类)30.44万元,占2.75%。</w:t>
      </w:r>
    </w:p>
    <w:p>
      <w:pPr>
        <w:spacing w:line="580" w:lineRule="exact"/>
        <w:ind w:firstLine="640"/>
        <w:jc w:val="both"/>
      </w:pPr>
      <w:r>
        <w:rPr>
          <w:rFonts w:ascii="仿宋_GB2312" w:hAnsi="仿宋_GB2312" w:eastAsia="仿宋_GB2312"/>
          <w:b w:val="0"/>
          <w:sz w:val="32"/>
        </w:rPr>
        <w:t>4.住房保障支出(类)70.40万元,占6.37%。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1.教育支出(类)普通教育(款)学前教育(项):支出决算数为188.63万元，比上年决算增加40.54万元，增长27.38%,主要原因是：增加2021年-2023年县配套学前伙食补助和保教费。</w:t>
      </w:r>
    </w:p>
    <w:p>
      <w:pPr>
        <w:spacing w:line="580" w:lineRule="exact"/>
        <w:ind w:firstLine="640"/>
        <w:jc w:val="both"/>
      </w:pPr>
      <w:r>
        <w:rPr>
          <w:rFonts w:ascii="仿宋_GB2312" w:hAnsi="仿宋_GB2312" w:eastAsia="仿宋_GB2312"/>
          <w:b w:val="0"/>
          <w:sz w:val="32"/>
        </w:rPr>
        <w:t>2.教育支出(类)普通教育(款)小学教育(项):支出决算数为637.70万元，比上年决算减少206.50万元，下降24.46%,主要原因是：较上年减少国营农牧场补缴社保资金。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3.社会保障和就业支出(类)行政事业单位养老支出(款)事业单位离退休(项):支出决算数为34.81万元，比上年决算增加8.13万元，增长30.47%,主要原因是：本年退休人员增加，退休费支出增加。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89.69万元，比上年决算增加3.09万元，增长3.57%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28.73万元，比上年决算增加8.21万元，增长40.01%,主要原因是：本年新增退休人员和调出人员，职业年金缴费支出增加。</w:t>
      </w:r>
    </w:p>
    <w:p>
      <w:pPr>
        <w:spacing w:line="580" w:lineRule="exact"/>
        <w:ind w:firstLine="640"/>
        <w:jc w:val="both"/>
      </w:pPr>
      <w:r>
        <w:rPr>
          <w:rFonts w:ascii="仿宋_GB2312" w:hAnsi="仿宋_GB2312" w:eastAsia="仿宋_GB2312"/>
          <w:b w:val="0"/>
          <w:sz w:val="32"/>
        </w:rPr>
        <w:t>6.社会保障和就业支出(类)抚恤(款)死亡抚恤(项):支出决算数为24.70万元，比上年决算增加24.70万元，增长100.00%,主要原因是：本年新增死亡人员，死亡抚恤支出增加。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30.44万元，比上年决算减少9.37万元，下降23.54%,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8.住房保障支出(类)住房改革支出(款)住房公积金(项):支出决算数为70.40万元，比上年决算减少0.32万元，下降0.45%,主要原因是：本年在职人员调入调出，人员职级不同，缴费基数不同，导致住房公积金较上年减少。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2024年度一般公共预算财政拨款基本支出1,105.11万元，其中：</w:t>
      </w:r>
      <w:r>
        <w:rPr>
          <w:rFonts w:ascii="仿宋_GB2312" w:hAnsi="仿宋_GB2312" w:eastAsia="仿宋_GB2312"/>
          <w:b/>
          <w:sz w:val="32"/>
        </w:rPr>
        <w:t>人员经费1,044.62万元，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公用经费60.49万元，</w:t>
      </w:r>
      <w:r>
        <w:rPr>
          <w:rFonts w:ascii="仿宋_GB2312" w:hAnsi="仿宋_GB2312" w:eastAsia="仿宋_GB2312"/>
          <w:b w:val="0"/>
          <w:sz w:val="32"/>
        </w:rPr>
        <w:t>包括：办公费、印刷费、水费、电费、邮电费、取暖费、物业管理费、维修（护）费、培训费、专用材料费、其他交通费用。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减少1.00万元，下降100.00%，主要原因是：2024年中央专项彩票公益金支持乡村学校少年宫资金项目未支付。</w:t>
      </w:r>
      <w:r>
        <w:rPr>
          <w:rFonts w:ascii="仿宋_GB2312" w:hAnsi="仿宋_GB2312" w:eastAsia="仿宋_GB2312"/>
          <w:b/>
          <w:sz w:val="32"/>
        </w:rPr>
        <w:t>与年初预算相比，</w:t>
      </w:r>
      <w:r>
        <w:rPr>
          <w:rFonts w:ascii="仿宋_GB2312" w:hAnsi="仿宋_GB2312" w:eastAsia="仿宋_GB2312"/>
          <w:b w:val="0"/>
          <w:sz w:val="32"/>
        </w:rPr>
        <w:t>年初预算数3.00万元，决算数0.00万元，预决算差异率-100.00%，主要原因是：年中，2024年中央专项彩票公益金支持乡村学校少年宫资金项目未支付。</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1.00万元，下降100.00%,主要原因是：2024年中央专项彩票公益金支持乡村学校少年宫资金项目未支付。</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2024年度尼勒克县胡吉尔台乡阿克塔斯小学（事业单位）公用经费支出60.49万元，比上年增加11.20万元，增长22.72%，主要原因是：本年增加2021-2023年保教费，导致公用经费增加。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7,279.42平方米，价值692.54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1,126.06万元，实际执行总额1,126.06万元；预算绩效评价项目1个，全年预算数21.00万元，全年执行数20.95万元。预算绩效管理取得的成效：一是：始终坚持以习近平新时代中国特色社会主义思想为指导，落实立德树人根本任务，加强学生行为习惯养成教育，不断提高小学生思想道德素质和文明素养。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在新阶段下，教师的教学质量与家长不断增强的教育需求之间有差距，教师能力提升迫在眉睫；二是教师年龄日趋老龄化，学校没有新鲜血液注入，活力不强；三是预算绩效管理水平仍有欠缺。在2024年预算绩效管理工作中，存在“重投入轻管理、重支出轻绩效”的情况，对全面实施预算绩效管理的要求认识还不到位，项目申报、实施等环节与预算绩效管理各个环节联系不够紧密。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三是加强新行政单位会计制度和新预算法学习培训、规范账务处理，加强新《预算法》《政府会计制度》《会计法》及《行政单位财务规则》等学习培训,规范部门预算收支核算。一是制定和完善基本支出、项目支出等各项支出标准,严格按项目进度执行预算,增强预算的约束力和严肃性。二是落实预算执行分析,及时了解预算执行差异,合理调整、纠正预算执行偏差，切实提高部门预算收支管理水平。尽可能地做到决算与预算相衔接。科学合理设定绩效目标，充分发挥预算绩效管理工作效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尼勒克县胡吉尔台乡阿克塔斯小学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1,096.78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1,126.06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1,126.06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64.43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989.44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1,040.68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1,040.68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一、抓好教育教学工作，不断提高教育质量。二、抓好教师队伍建设，打造德才兼备的教师队伍。三、开展各项教研活动，持续提高教学质量。四、加强对学生的思想品德教育，使学生的德智体全面发展。五、全方位保障校园安全。六、贯彻落实“双减”和五项管理，提升课后服务质量，办好人民满意的教育。</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学教研次数达到8次，开展法制、安全主题教育次数达到6次，校本培训次数达到6次，开展课后托管社团种类达到7类。使学生的德智体全面发展，提升课后服务质量，办好人民满意的教育。</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指标1：开展教学教研次数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指标2：开展法制、安全主题教育次数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指标3：校本培训次数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指标4：开展课后托管社团种类</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=6类</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2024年社团活动安排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7类</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尼勒克县胡吉尔台乡阿克塔斯小学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尼勒克县胡吉尔台乡阿克塔斯小学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99.76%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保障学生正常托管，减轻家长看管负担。增强教育服务能力，提高学生全面发展，及时支付教师托管费。</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截至2024年12月底，本单位已完成课后延时服务人数达到294人，学生社团数量达到6个，托管学生覆盖率达到98.99%，项目实际支出20.95万元，通过项目的实施，课后托管服务人数达到38人，学生受益数量达到294人。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指标1：课后延时服务人数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截至2024年12月底，由于残疾学生不参加托管，导致执行率较低，故出现偏差。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指标2：学生社团数量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指标1：托管费支出标准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&gt;=50元/课时·人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58.84元/课时·人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截至2024年12月底，由于残疾学生不参加托管，导致执行率较低，故出现偏差。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指标2：托管运转经费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指标1：受益教师数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指标2：学生受益数量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&gt;=290人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99.84分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