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尼勒克县第四社区幼儿园2024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（1）全面贯彻落实党和国家有关幼儿教育的方针、政策以及教育法规、规章，坚持正确的办园方向。</w:t>
      </w:r>
    </w:p>
    <w:p>
      <w:pPr>
        <w:spacing w:line="580" w:lineRule="exact"/>
        <w:ind w:firstLine="640"/>
        <w:jc w:val="both"/>
      </w:pPr>
      <w:r>
        <w:rPr>
          <w:rFonts w:ascii="仿宋_GB2312" w:hAnsi="仿宋_GB2312" w:eastAsia="仿宋_GB2312"/>
          <w:sz w:val="32"/>
        </w:rPr>
        <w:t>（2）制订教育教学的发展规划和学期工作计划，遵循幼儿身心发展的规律和幼儿教育原则。</w:t>
      </w:r>
    </w:p>
    <w:p>
      <w:pPr>
        <w:spacing w:line="580" w:lineRule="exact"/>
        <w:ind w:firstLine="640"/>
        <w:jc w:val="both"/>
      </w:pPr>
      <w:r>
        <w:rPr>
          <w:rFonts w:ascii="仿宋_GB2312" w:hAnsi="仿宋_GB2312" w:eastAsia="仿宋_GB2312"/>
          <w:sz w:val="32"/>
        </w:rPr>
        <w:t>（3）以游戏为基本活动，促进幼儿学习兴趣，培养幼儿的综合能力。</w:t>
      </w:r>
    </w:p>
    <w:p>
      <w:pPr>
        <w:spacing w:line="580" w:lineRule="exact"/>
        <w:ind w:firstLine="640"/>
        <w:jc w:val="both"/>
      </w:pPr>
      <w:r>
        <w:rPr>
          <w:rFonts w:ascii="仿宋_GB2312" w:hAnsi="仿宋_GB2312" w:eastAsia="仿宋_GB2312"/>
          <w:sz w:val="32"/>
        </w:rPr>
        <w:t>（4）做好幼儿园党的建设工作，抓好幼儿园精神文明建设。</w:t>
      </w:r>
    </w:p>
    <w:p>
      <w:pPr>
        <w:spacing w:line="580" w:lineRule="exact"/>
        <w:ind w:firstLine="640"/>
        <w:jc w:val="both"/>
      </w:pPr>
      <w:r>
        <w:rPr>
          <w:rFonts w:ascii="仿宋_GB2312" w:hAnsi="仿宋_GB2312" w:eastAsia="仿宋_GB2312"/>
          <w:sz w:val="32"/>
        </w:rPr>
        <w:t>（5）抓好幼儿园校德育工作，培养师德高尚的教育队伍。</w:t>
      </w:r>
    </w:p>
    <w:p>
      <w:pPr>
        <w:spacing w:line="580" w:lineRule="exact"/>
        <w:ind w:firstLine="640"/>
        <w:jc w:val="both"/>
      </w:pPr>
      <w:r>
        <w:rPr>
          <w:rFonts w:ascii="仿宋_GB2312" w:hAnsi="仿宋_GB2312" w:eastAsia="仿宋_GB2312"/>
          <w:sz w:val="32"/>
        </w:rPr>
        <w:t>（6）做好幼儿园安全保卫工作，增强安全工作防范意识。</w:t>
      </w:r>
    </w:p>
    <w:p>
      <w:pPr>
        <w:spacing w:line="580" w:lineRule="exact"/>
        <w:ind w:firstLine="640"/>
        <w:jc w:val="both"/>
      </w:pPr>
      <w:r>
        <w:rPr>
          <w:rFonts w:ascii="仿宋_GB2312" w:hAnsi="仿宋_GB2312" w:eastAsia="仿宋_GB2312"/>
          <w:sz w:val="32"/>
        </w:rPr>
        <w:t>（7）完成上级部门交办的其他工作。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尼勒克县第四社区幼儿园2024年度，实有人数12人，其中：在职人员12人，增加0人；离休人员0人，增加0人；退休人员0人,增加0人。</w:t>
      </w:r>
    </w:p>
    <w:p>
      <w:pPr>
        <w:spacing w:line="580" w:lineRule="exact"/>
        <w:ind w:firstLine="640"/>
        <w:jc w:val="both"/>
      </w:pPr>
      <w:r>
        <w:rPr>
          <w:rFonts w:ascii="仿宋_GB2312" w:hAnsi="仿宋_GB2312" w:eastAsia="仿宋_GB2312"/>
          <w:sz w:val="32"/>
        </w:rPr>
        <w:t>尼勒克县第四社区幼儿园无下属预算单位，下设4个科室，分别是：园长室、财务室、保健室、教务室。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2024年度收入总计266.32万元，</w:t>
      </w:r>
      <w:r>
        <w:rPr>
          <w:rFonts w:ascii="仿宋_GB2312" w:hAnsi="仿宋_GB2312" w:eastAsia="仿宋_GB2312"/>
          <w:b w:val="0"/>
          <w:sz w:val="32"/>
        </w:rPr>
        <w:t>其中：本年收入合计265.89万元，使用非财政拨款结余（含专用结余）0.00万元，年初结转和结余0.42万元。</w:t>
      </w:r>
    </w:p>
    <w:p>
      <w:pPr>
        <w:spacing w:line="580" w:lineRule="exact"/>
        <w:ind w:firstLine="640"/>
        <w:jc w:val="both"/>
      </w:pPr>
      <w:r>
        <w:rPr>
          <w:rFonts w:ascii="仿宋_GB2312" w:hAnsi="仿宋_GB2312" w:eastAsia="仿宋_GB2312"/>
          <w:b/>
          <w:sz w:val="32"/>
        </w:rPr>
        <w:t>2024年度支出总计266.32万元，</w:t>
      </w:r>
      <w:r>
        <w:rPr>
          <w:rFonts w:ascii="仿宋_GB2312" w:hAnsi="仿宋_GB2312" w:eastAsia="仿宋_GB2312"/>
          <w:b w:val="0"/>
          <w:sz w:val="32"/>
        </w:rPr>
        <w:t>其中：本年支出合计266.32万元，结余分配0.00万元，年末结转和结余0.00万元。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增加0.90万元，增长0.34%，主要原因是：本年在职人员工资调增，社保、公积金基数调增，人员经费增加；本年增加2021-2023年学前保教费及伙食费等项目。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本年收入265.89万元，</w:t>
      </w:r>
      <w:r>
        <w:rPr>
          <w:rFonts w:ascii="仿宋_GB2312" w:hAnsi="仿宋_GB2312" w:eastAsia="仿宋_GB2312"/>
          <w:b w:val="0"/>
          <w:sz w:val="32"/>
        </w:rPr>
        <w:t>其中：财政拨款收入265.58万元，占99.88%；上级补助收入0.00万元，占0.00%；事业收入0.00万元，占0.00%；经营收入0.00万元，占0.00%；附属单位上缴收入0.00万元，占0.00%；其他收入0.31万元，占0.12%。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本年支出266.32万元，</w:t>
      </w:r>
      <w:r>
        <w:rPr>
          <w:rFonts w:ascii="仿宋_GB2312" w:hAnsi="仿宋_GB2312" w:eastAsia="仿宋_GB2312"/>
          <w:b w:val="0"/>
          <w:sz w:val="32"/>
        </w:rPr>
        <w:t>其中：基本支出266.32万元，占100.00%；项目支出0.00万元，占0.00%；上缴上级支出0.00万元，占0.00%；经营支出0.00万元，占0.00%；对附属单位补助支出0.00万元，占0.00%。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2024年度财政拨款收入总计265.58万元，</w:t>
      </w:r>
      <w:r>
        <w:rPr>
          <w:rFonts w:ascii="仿宋_GB2312" w:hAnsi="仿宋_GB2312" w:eastAsia="仿宋_GB2312"/>
          <w:b w:val="0"/>
          <w:sz w:val="32"/>
        </w:rPr>
        <w:t>其中：年初财政拨款结转和结余0.00万元，本年财政拨款收入265.58万元。</w:t>
      </w:r>
      <w:r>
        <w:rPr>
          <w:rFonts w:ascii="仿宋_GB2312" w:hAnsi="仿宋_GB2312" w:eastAsia="仿宋_GB2312"/>
          <w:b/>
          <w:sz w:val="32"/>
        </w:rPr>
        <w:t>财政拨款支出总计265.58万元，</w:t>
      </w:r>
      <w:r>
        <w:rPr>
          <w:rFonts w:ascii="仿宋_GB2312" w:hAnsi="仿宋_GB2312" w:eastAsia="仿宋_GB2312"/>
          <w:b w:val="0"/>
          <w:sz w:val="32"/>
        </w:rPr>
        <w:t>其中：年末财政拨款结转和结余0.00万元，本年财政拨款支出265.58万元。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增加3.43万元，增长1.31%，主要原因是：本年在职人员工资调增，社保、公积金基数调增，人员经费增加；本年增加2021-2023年学前保教费及伙食费等项目。</w:t>
      </w:r>
      <w:r>
        <w:rPr>
          <w:rFonts w:ascii="仿宋_GB2312" w:hAnsi="仿宋_GB2312" w:eastAsia="仿宋_GB2312"/>
          <w:b/>
          <w:sz w:val="32"/>
        </w:rPr>
        <w:t>与年初预算相比，</w:t>
      </w:r>
      <w:r>
        <w:rPr>
          <w:rFonts w:ascii="仿宋_GB2312" w:hAnsi="仿宋_GB2312" w:eastAsia="仿宋_GB2312"/>
          <w:b w:val="0"/>
          <w:sz w:val="32"/>
        </w:rPr>
        <w:t>年初预算数238.27万元，决算数265.58万元，预决算差异率11.46%，主要原因是：年中追加2021-2023年学前保教费及伙食费项目，导致预决算存在差异；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2024年度一般公共预算财政拨款支出265.58万元，</w:t>
      </w:r>
      <w:r>
        <w:rPr>
          <w:rFonts w:ascii="仿宋_GB2312" w:hAnsi="仿宋_GB2312" w:eastAsia="仿宋_GB2312"/>
          <w:b w:val="0"/>
          <w:sz w:val="32"/>
        </w:rPr>
        <w:t>占本年支出合计的99.72%。</w:t>
      </w:r>
      <w:r>
        <w:rPr>
          <w:rFonts w:ascii="仿宋_GB2312" w:hAnsi="仿宋_GB2312" w:eastAsia="仿宋_GB2312"/>
          <w:b/>
          <w:sz w:val="32"/>
        </w:rPr>
        <w:t>与上年相比，</w:t>
      </w:r>
      <w:r>
        <w:rPr>
          <w:rFonts w:ascii="仿宋_GB2312" w:hAnsi="仿宋_GB2312" w:eastAsia="仿宋_GB2312"/>
          <w:b w:val="0"/>
          <w:sz w:val="32"/>
        </w:rPr>
        <w:t>增加3.43万元，增长1.31%，主要原因是：本年在职人员工资调增，社保、公积金基数调增，人员经费增加；本年增加2021-2023年学前保教费及伙食费等项目。</w:t>
      </w:r>
      <w:r>
        <w:rPr>
          <w:rFonts w:ascii="仿宋_GB2312" w:hAnsi="仿宋_GB2312" w:eastAsia="仿宋_GB2312"/>
          <w:b/>
          <w:sz w:val="32"/>
        </w:rPr>
        <w:t>与年初预算相比,</w:t>
      </w:r>
      <w:r>
        <w:rPr>
          <w:rFonts w:ascii="仿宋_GB2312" w:hAnsi="仿宋_GB2312" w:eastAsia="仿宋_GB2312"/>
          <w:b w:val="0"/>
          <w:sz w:val="32"/>
        </w:rPr>
        <w:t>年初预算数238.27万元，决算数265.58万元，预决算差异率11.46%，主要原因是：年中追加2021-2023年学前保教费及伙食费项目，导致预决算存在差异；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1.教育支出(类)224.12万元,占84.39%。</w:t>
      </w:r>
    </w:p>
    <w:p>
      <w:pPr>
        <w:spacing w:line="580" w:lineRule="exact"/>
        <w:ind w:firstLine="640"/>
        <w:jc w:val="both"/>
      </w:pPr>
      <w:r>
        <w:rPr>
          <w:rFonts w:ascii="仿宋_GB2312" w:hAnsi="仿宋_GB2312" w:eastAsia="仿宋_GB2312"/>
          <w:b w:val="0"/>
          <w:sz w:val="32"/>
        </w:rPr>
        <w:t>2.社会保障和就业支出(类)18.10万元,占6.82%。</w:t>
      </w:r>
    </w:p>
    <w:p>
      <w:pPr>
        <w:spacing w:line="580" w:lineRule="exact"/>
        <w:ind w:firstLine="640"/>
        <w:jc w:val="both"/>
      </w:pPr>
      <w:r>
        <w:rPr>
          <w:rFonts w:ascii="仿宋_GB2312" w:hAnsi="仿宋_GB2312" w:eastAsia="仿宋_GB2312"/>
          <w:b w:val="0"/>
          <w:sz w:val="32"/>
        </w:rPr>
        <w:t>3.卫生健康支出(类)9.19万元,占3.46%。</w:t>
      </w:r>
    </w:p>
    <w:p>
      <w:pPr>
        <w:spacing w:line="580" w:lineRule="exact"/>
        <w:ind w:firstLine="640"/>
        <w:jc w:val="both"/>
      </w:pPr>
      <w:r>
        <w:rPr>
          <w:rFonts w:ascii="仿宋_GB2312" w:hAnsi="仿宋_GB2312" w:eastAsia="仿宋_GB2312"/>
          <w:b w:val="0"/>
          <w:sz w:val="32"/>
        </w:rPr>
        <w:t>4.住房保障支出(类)14.17万元,占5.34%。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1.教育支出(类)普通教育(款)学前教育(项):支出决算数为224.12万元，比上年决算减少1.60万元，下降0.71%,主要原因是：聘用人员减少一人，相应学前教育经费支出减少。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18.10万元，比上年决算增加1.93万元，增长11.94%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3.卫生健康支出(类)行政事业单位医疗(款)事业单位医疗(项):支出决算数为9.19万元，比上年决算增加2.14万元，增长30.35%,主要原因是：本年在职人员工资基数调增，医疗缴费基数上涨，相应支出增加。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4.住房保障支出(类)住房改革支出(款)住房公积金(项):支出决算数为14.17万元，比上年决算增加0.97万元，增长7.35%,主要原因是：本年在职人员工资基数调增，公积金缴费基数上涨，相应支出增加。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2024年度一般公共预算财政拨款基本支出265.58万元，其中：</w:t>
      </w:r>
      <w:r>
        <w:rPr>
          <w:rFonts w:ascii="仿宋_GB2312" w:hAnsi="仿宋_GB2312" w:eastAsia="仿宋_GB2312"/>
          <w:b/>
          <w:sz w:val="32"/>
        </w:rPr>
        <w:t>人员经费224.97万元，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包括：基本工资、津贴补贴、奖金、绩效工资、机关事业单位基本养老保险缴费、职工基本医疗保险缴费、其他社会保障缴费、住房公积金、其他工资福利支出、助学金。</w:t>
      </w:r>
    </w:p>
    <w:p>
      <w:pPr>
        <w:spacing w:line="580" w:lineRule="exact"/>
        <w:ind w:firstLine="640"/>
        <w:jc w:val="both"/>
      </w:pPr>
      <w:r>
        <w:rPr>
          <w:rFonts w:ascii="仿宋_GB2312" w:hAnsi="仿宋_GB2312" w:eastAsia="仿宋_GB2312"/>
          <w:b/>
          <w:sz w:val="32"/>
        </w:rPr>
        <w:t>公用经费40.61万元，</w:t>
      </w:r>
      <w:r>
        <w:rPr>
          <w:rFonts w:ascii="仿宋_GB2312" w:hAnsi="仿宋_GB2312" w:eastAsia="仿宋_GB2312"/>
          <w:b w:val="0"/>
          <w:sz w:val="32"/>
        </w:rPr>
        <w:t>包括：办公费、印刷费、水费、电费、邮电费、取暖费、物业管理费、维修（护）费、培训费、专用材料费、劳务费、办公设备购置、专用设备购置。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2024年度尼勒克县第四社区幼儿园（事业单位）公用经费支出40.61万元，比上年增加22.73万元，增长127.13%，主要原因是：本年增加2021-2023年学前教育保教费，导致公用经费增加。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16,689.00平方米，价值728.03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266.32万元，实际执行总额266.32万元；预算绩效评价项目1个，全年预算数0.74万元，全年执行数0.74万元。预算绩效管理取得的成效：一是定期组织教师参加各类培训和学习活动，包括教育教学理论、幼儿心理发展、课程设计等方面的培训，提升教师的专业素养和教育教学能力；二是开展园内教研活动，鼓励教师分享教学经验和教学心得，共同探讨教学中遇到的问题和解决方案；三是建立教师考核评价机制，对教师的工作表现进行全面、客观、公正的评价，激励教师不断进步；四是深入推进课程改革，根据幼儿的年龄特点和发展需求，优化课程设置，丰富教学内容和教学形式，激发幼儿的学习兴趣和主动性；五是注重培养幼儿的综合素质，包括语言表达、思维能力、动手能力、社交能力等，促进幼儿的全面发展；六是建立健全安全管理制度，明确各部门和各岗位的安全职责，将安全工作落实到每一个环节；七是加强安全教育，定期组织师生开展安全演练，提高师生的安全意识和自我保护能力；八是建立家园沟通平台，通过微信、电话、家访等方式，及时与家长沟通幼儿在园的学习和生活情况，共同促进幼儿的成长；九是开展亲子活动，增进家长与幼儿之间的感情，促进家园共育。发现的问题及原因：一是教学评价不科学：过度关注幼儿知识技能掌握情况，缺乏对幼儿情感态度、社会性发展等方面的全面评价，评价方式主观性强，缺乏客观性和标准化。原因：过度关注幼儿知识技能掌握情况，缺乏对幼儿情感态度、社会性发展等方面的全面评价，评价方式主观性强，缺乏客观性和标准化；二是安全教育形式化对幼儿的安全教育多以简单说教为主，缺乏生动有趣、实践性强的安全教育活动，幼儿安全意识和自我保护能力培养不足；对教职工的安全培训缺乏系统性和针对性，教职工安全应急处理能力不强。原因：安全意识淡薄幼儿园管理层和教职工对安全工作的重要性认识不足，存在麻痹大意思想，重效益、轻安全，未能将安全工作放在首位。下一步改进措施：一是加强教师队伍建设，提高教师的业务能力，为教师提供更多的发展空间和机会，增强教师队伍的稳定性；二是加大对硬件设施的投入，改善幼儿园的办学条件，为幼儿提供更加优质的教育环境；三是加强课程研发和创新，结合幼儿园的实际情况和幼儿的发展特点，开发具有特色和竞争力的园本课程，提高幼儿园的教育教学质量。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尼勒克县第四社区幼儿园</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248.27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266.32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266.32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15.44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222.83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225.28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225.28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根据本学期《幼儿园工作计划》要求，加强本园培训，坚持以教研组为阵地，进行课程教材改革的实践研究，积极构建园本课程，遵循幼儿园发展规律，加强幼儿园常规管理，切实提高幼儿一日活动质量和效益，促进教师、幼儿、课程发展一体化。 继续以《纲要》为指导，落实课改理念，深化课程改革，让课程适应每一位孩子的发展，促进幼儿在原有水平上获得最大限度的发展，促进幼儿园园本课程的发展。 立足自培，加强教师队伍建设，在教材的实践研究中，培养反思型教师，并在研究中不断地自我成长。加强教科研研究，狠抓保教成规，优化活动质量。</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计划招生数达到102人，提高幼师技能、保育员能力培训次数达到5次，开展教研、公开课活动、五大领域比赛数量达到10次，开展爱国主义、民族团结教育、亲子活动等活动达到8次，开展教研、公开课活动参与率达到95%。家长满意度达到96.1%。足自培，加强教师队伍建设，在教材的实践研究中，培养反思型教师，并在研究中不断地自我成长。</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指标1：计划招生数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指标2：提高幼师技能、保育员能力培训次数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指标3：开展教研、公开课活动、五大领域比赛数量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指标4：开展爱国主义、民族团结教育、亲子活动等活动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指标5：开展教研、公开课活动参与率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家长满意度调查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尼勒克县第四社区幼儿园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尼勒克县第四社区幼儿园</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0.74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青年见习生就业补贴，为待岗就业的见习生提供实践机会以及生活保障,提高幼儿园运转经费，为教师与学生营造良好的工作、学习环境；提升教师工作积极性和幸福感。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青年就业见习补贴人数达到1人，资金发放标准率达到100%，见习生补贴发放及时率达到100%，项目实际支出0.74万元。通过该项目的实施，有效提高见习生业务水平，受益人员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指标1：青年就业见习补贴人数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指标1：资金发放标准率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&lt;=0.43万元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0.43万元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指标2：见习生发放补贴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指标1：有效提高见习生业务水平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