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尼勒克县第二（淑玲）幼儿园2024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幼儿园管理人员和有关幼教行政人员遵照一定的教育方针和保教工作的客观规律，采取科学的工作方式和管理手段，将人、财、物等各因素合理组织起来，实现国家所规定的培养目标和幼儿园工作任务所进行的各种一般职能活动。</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尼勒克县第二（淑玲）幼儿园2024年度，实有人数23人，其中：在职人员21人，减少3人；离休人员0人，增加0人；退休人员2人,增加2人。</w:t>
      </w:r>
    </w:p>
    <w:p>
      <w:pPr>
        <w:spacing w:line="580" w:lineRule="exact"/>
        <w:ind w:firstLine="640"/>
        <w:jc w:val="both"/>
      </w:pPr>
      <w:r>
        <w:rPr>
          <w:rFonts w:ascii="仿宋_GB2312" w:hAnsi="仿宋_GB2312" w:eastAsia="仿宋_GB2312"/>
          <w:sz w:val="32"/>
        </w:rPr>
        <w:t>尼勒克县第二（淑玲）幼儿园无下属预算单位，下设4个科室，分别是：园长室、财务室、保健室、教务室。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2024年度收入总计580.38万元，</w:t>
      </w:r>
      <w:r>
        <w:rPr>
          <w:rFonts w:ascii="仿宋_GB2312" w:hAnsi="仿宋_GB2312" w:eastAsia="仿宋_GB2312"/>
          <w:b w:val="0"/>
          <w:sz w:val="32"/>
        </w:rPr>
        <w:t>其中：本年收入合计580.09万元，使用非财政拨款结余（含专用结余）0.00万元，年初结转和结余0.29万元。</w:t>
      </w:r>
    </w:p>
    <w:p>
      <w:pPr>
        <w:spacing w:line="580" w:lineRule="exact"/>
        <w:ind w:firstLine="640"/>
        <w:jc w:val="both"/>
      </w:pPr>
      <w:r>
        <w:rPr>
          <w:rFonts w:ascii="仿宋_GB2312" w:hAnsi="仿宋_GB2312" w:eastAsia="仿宋_GB2312"/>
          <w:b/>
          <w:sz w:val="32"/>
        </w:rPr>
        <w:t>2024年度支出总计580.38万元，</w:t>
      </w:r>
      <w:r>
        <w:rPr>
          <w:rFonts w:ascii="仿宋_GB2312" w:hAnsi="仿宋_GB2312" w:eastAsia="仿宋_GB2312"/>
          <w:b w:val="0"/>
          <w:sz w:val="32"/>
        </w:rPr>
        <w:t>其中：本年支出合计580.38万元，结余分配0.00万元，年末结转和结余0.00万元。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增加96.20万元，增长19.87%，主要原因是：本年在职人员工资调增、绩效、考核增资，经费增加。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本年收入580.09万元，</w:t>
      </w:r>
      <w:r>
        <w:rPr>
          <w:rFonts w:ascii="仿宋_GB2312" w:hAnsi="仿宋_GB2312" w:eastAsia="仿宋_GB2312"/>
          <w:b w:val="0"/>
          <w:sz w:val="32"/>
        </w:rPr>
        <w:t>其中：财政拨款收入579.59万元，占99.91%；上级补助收入0.00万元，占0.00%；事业收入0.00万元，占0.00%；经营收入0.00万元，占0.00%；附属单位上缴收入0.00万元，占0.00%；其他收入0.49万元，占0.08%。</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本年支出580.38万元，</w:t>
      </w:r>
      <w:r>
        <w:rPr>
          <w:rFonts w:ascii="仿宋_GB2312" w:hAnsi="仿宋_GB2312" w:eastAsia="仿宋_GB2312"/>
          <w:b w:val="0"/>
          <w:sz w:val="32"/>
        </w:rPr>
        <w:t>其中：基本支出580.38万元，占100.00%；项目支出0.00万元，占0.00%；上缴上级支出0.00万元，占0.00%；经营支出0.00万元，占0.00%；对附属单位补助支出0.00万元，占0.00%。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2024年度财政拨款收入总计579.59万元，</w:t>
      </w:r>
      <w:r>
        <w:rPr>
          <w:rFonts w:ascii="仿宋_GB2312" w:hAnsi="仿宋_GB2312" w:eastAsia="仿宋_GB2312"/>
          <w:b w:val="0"/>
          <w:sz w:val="32"/>
        </w:rPr>
        <w:t>其中：年初财政拨款结转和结余0.00万元，本年财政拨款收入579.59万元。</w:t>
      </w:r>
      <w:r>
        <w:rPr>
          <w:rFonts w:ascii="仿宋_GB2312" w:hAnsi="仿宋_GB2312" w:eastAsia="仿宋_GB2312"/>
          <w:b/>
          <w:sz w:val="32"/>
        </w:rPr>
        <w:t>财政拨款支出总计579.59万元，</w:t>
      </w:r>
      <w:r>
        <w:rPr>
          <w:rFonts w:ascii="仿宋_GB2312" w:hAnsi="仿宋_GB2312" w:eastAsia="仿宋_GB2312"/>
          <w:b w:val="0"/>
          <w:sz w:val="32"/>
        </w:rPr>
        <w:t>其中：年末财政拨款结转和结余0.00万元，本年财政拨款支出579.59万元。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增加100.33万元，增长20.93%，主要原因是：本年在职人员工资调增、绩效、考核增资，经费增加。</w:t>
      </w:r>
      <w:r>
        <w:rPr>
          <w:rFonts w:ascii="仿宋_GB2312" w:hAnsi="仿宋_GB2312" w:eastAsia="仿宋_GB2312"/>
          <w:b/>
          <w:sz w:val="32"/>
        </w:rPr>
        <w:t>与年初预算相比，</w:t>
      </w:r>
      <w:r>
        <w:rPr>
          <w:rFonts w:ascii="仿宋_GB2312" w:hAnsi="仿宋_GB2312" w:eastAsia="仿宋_GB2312"/>
          <w:b w:val="0"/>
          <w:sz w:val="32"/>
        </w:rPr>
        <w:t>年初预算数545.95万元，决算数579.59万元，预决算差异率6.16%，主要原因是：年中追加工资调增部分经费，公积金调增部分、追加幼儿伙食及绩效工资导致存在差异。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2024年度一般公共预算财政拨款支出579.59万元，</w:t>
      </w:r>
      <w:r>
        <w:rPr>
          <w:rFonts w:ascii="仿宋_GB2312" w:hAnsi="仿宋_GB2312" w:eastAsia="仿宋_GB2312"/>
          <w:b w:val="0"/>
          <w:sz w:val="32"/>
        </w:rPr>
        <w:t>占本年支出合计的99.86%。</w:t>
      </w:r>
      <w:r>
        <w:rPr>
          <w:rFonts w:ascii="仿宋_GB2312" w:hAnsi="仿宋_GB2312" w:eastAsia="仿宋_GB2312"/>
          <w:b/>
          <w:sz w:val="32"/>
        </w:rPr>
        <w:t>与上年相比，</w:t>
      </w:r>
      <w:r>
        <w:rPr>
          <w:rFonts w:ascii="仿宋_GB2312" w:hAnsi="仿宋_GB2312" w:eastAsia="仿宋_GB2312"/>
          <w:b w:val="0"/>
          <w:sz w:val="32"/>
        </w:rPr>
        <w:t>增加100.33万元，增长20.93%，主要原因是：本年在职人员工资调增，社保、公积金基数调增，人员经费增加。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年初预算数545.95万元，决算数579.59万元，预决算差异率6.16%，主要原因是：年中追加人员工资、社保、公积金基数调增部分资金，导致预决算存在差异。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1.教育支出(类)473.99万元,占81.78%。</w:t>
      </w:r>
    </w:p>
    <w:p>
      <w:pPr>
        <w:spacing w:line="580" w:lineRule="exact"/>
        <w:ind w:firstLine="640"/>
        <w:jc w:val="both"/>
      </w:pPr>
      <w:r>
        <w:rPr>
          <w:rFonts w:ascii="仿宋_GB2312" w:hAnsi="仿宋_GB2312" w:eastAsia="仿宋_GB2312"/>
          <w:b w:val="0"/>
          <w:sz w:val="32"/>
        </w:rPr>
        <w:t>2.社会保障和就业支出(类)58.45万元,占10.08%。</w:t>
      </w:r>
    </w:p>
    <w:p>
      <w:pPr>
        <w:spacing w:line="580" w:lineRule="exact"/>
        <w:ind w:firstLine="640"/>
        <w:jc w:val="both"/>
      </w:pPr>
      <w:r>
        <w:rPr>
          <w:rFonts w:ascii="仿宋_GB2312" w:hAnsi="仿宋_GB2312" w:eastAsia="仿宋_GB2312"/>
          <w:b w:val="0"/>
          <w:sz w:val="32"/>
        </w:rPr>
        <w:t>3.卫生健康支出(类)18.55万元,占3.20%。</w:t>
      </w:r>
    </w:p>
    <w:p>
      <w:pPr>
        <w:spacing w:line="580" w:lineRule="exact"/>
        <w:ind w:firstLine="640"/>
        <w:jc w:val="both"/>
      </w:pPr>
      <w:r>
        <w:rPr>
          <w:rFonts w:ascii="仿宋_GB2312" w:hAnsi="仿宋_GB2312" w:eastAsia="仿宋_GB2312"/>
          <w:b w:val="0"/>
          <w:sz w:val="32"/>
        </w:rPr>
        <w:t>4.住房保障支出(类)28.61万元,占4.94%。</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1.教育支出(类)普通教育(款)学前教育(项):支出决算数为473.99万元，比上年决算增加72.22万元，增长17.98%,主要原因是：本年在职人员工资基数调增、增加幼儿伙食补助及教师绩效工资，故支出增加。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36.55万元，比上年决算增加2.15万元，增长6.25%,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21.90万元，比上年决算增加21.90万元，增长100.00%,主要原因是：本年新增退休人2员、辞职1人员，职业年金缴费支出增加。</w:t>
      </w:r>
    </w:p>
    <w:p>
      <w:pPr>
        <w:spacing w:line="580" w:lineRule="exact"/>
        <w:ind w:firstLine="640"/>
        <w:jc w:val="both"/>
      </w:pPr>
      <w:r>
        <w:rPr>
          <w:rFonts w:ascii="仿宋_GB2312" w:hAnsi="仿宋_GB2312" w:eastAsia="仿宋_GB2312"/>
          <w:b w:val="0"/>
          <w:sz w:val="32"/>
        </w:rPr>
        <w:t>4.卫生健康支出(类)行政事业单位医疗(款)事业单位医疗(项):支出决算数为18.55万元，比上年决算增加3.49万元，增长23.17%,主要原因是：本年在职人员工资基数调增，医疗缴费基数上涨，相应支出增加。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5.住房保障支出(类)住房改革支出(款)住房公积金(项):支出决算数为28.61万元，比上年决算增加0.58万元，增长2.07%,主要原因是：本年在职人员工资基数调增，公积金缴费基数上涨，相应支出增加。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2024年度一般公共预算财政拨款基本支出579.59万元，其中：</w:t>
      </w:r>
      <w:r>
        <w:rPr>
          <w:rFonts w:ascii="仿宋_GB2312" w:hAnsi="仿宋_GB2312" w:eastAsia="仿宋_GB2312"/>
          <w:b/>
          <w:sz w:val="32"/>
        </w:rPr>
        <w:t>人员经费471.03万元，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包括：基本工资、津贴补贴、奖金、绩效工资、机关事业单位基本养老保险缴费、职业年金缴费、职工基本医疗保险缴费、其他社会保障缴费、住房公积金、其他工资福利支出、退休费、助学金、奖励金。</w:t>
      </w:r>
    </w:p>
    <w:p>
      <w:pPr>
        <w:spacing w:line="580" w:lineRule="exact"/>
        <w:ind w:firstLine="640"/>
        <w:jc w:val="both"/>
      </w:pPr>
      <w:r>
        <w:rPr>
          <w:rFonts w:ascii="仿宋_GB2312" w:hAnsi="仿宋_GB2312" w:eastAsia="仿宋_GB2312"/>
          <w:b/>
          <w:sz w:val="32"/>
        </w:rPr>
        <w:t>公用经费108.57万元，</w:t>
      </w:r>
      <w:r>
        <w:rPr>
          <w:rFonts w:ascii="仿宋_GB2312" w:hAnsi="仿宋_GB2312" w:eastAsia="仿宋_GB2312"/>
          <w:b w:val="0"/>
          <w:sz w:val="32"/>
        </w:rPr>
        <w:t>包括：办公费、印刷费、水费、电费、邮电费、取暖费、物业管理费、维修（护）费、培训费、专用材料费、劳务费、办公设备购置、专用设备购置。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2024年度尼勒克县第二（淑玲）幼儿园（事业单位）公用经费支出108.57万元，比上年增加72.85万元，增长203.95%，主要原因是：本年业务量增加，公用经费增加。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3,928.00平方米，价值991.14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580.38万元，实际执行总额580.38万元；预算绩效评价项目1个，全年预算数0.78万元，全年执行数0.78万元。预算绩效管理取得的成效：截至2024年12月底，本单位已完成开展组织生活会1次，支部委员会18次，班子成员上党课5次，组织专题研讨会6次，集体学习讨论6次党员同志和年轻干部在敬业奉献，为我园各项工作开展起模范带头作用。2024年我园教师积极参见各项教师技能比赛成绩由于分别一等奖1名、二等奖3名。除外注重园内安全、加强学生和老师的警惕意识开展消防演练和地震演练提高自我保护意识。发现的问题及原因：绩效管理专业人员匮乏，规范管理有盲点。预算绩效管理工作的覆盖面广、专业性强，不论预算单位在开展日常管理，还是财政部门组织实施绩效评价，都需要具备一定专业素养和实战经验的人力资源。下一步改进措施：一是加强学生的爱国主义教育、民族团结、开展丰富多彩的活动，让学生全面发展。提高师生整体素质，做好教师的培训工作，推动学校可持续发展。二是定期检查全员安全设施，排除安全隐患，定期对全园的水电设施、户外玩具器械消防设施、班级设备进行安全检查同时抓好幼儿园接送安全。具体附整体支出绩效自评表，项目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尼勒克县第二（淑玲）幼儿园</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557.95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580.38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580.38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47.34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109.20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109.20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498.61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471.18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471.18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坚持以教研组为阵地，进行课程教材改革的实践研究，积极构建园本课程，遵循幼儿园发展规律，加强幼儿园常规管理，切实提高幼儿一日活动质量和效益，促进教师、幼儿、课程发展一体化。坚持以师幼发展为根本、以优质保教为中心、以科学管理为保障，规范与发展并举。加强幼儿园基础设施建设，完善办学条件；加强幼儿园文化建设，优化育人环境。开展丰富多彩的活动，让幼儿全面发展。</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提高幼师技能、保育员能力培训次数达到8次，开展教研、公开课活动数量达到8次，开展幼儿五大领域比赛次数达到2次，开展爱国主义、民族团结、亲子活动等活动次数达到8次，家长满意度达到95%。加强幼儿园基础设施建设，完善办学条件；加强幼儿园文化建设，优化育人环境，开展丰富多彩的活动，让幼儿全面发展。</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指标1：提高幼师技能、保育员能力培训次数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指标2：开展教研、公开课活动数量</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指标3：开展幼儿五大领域比赛次数。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指标4：开展爱国主义、民族团结、亲子活动等活动次数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服务对象满意度</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指标:5：家长满意度</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96.24%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家长满意度</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96.24%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2024年单位自有资金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尼勒克县第二（淑玲）双语幼儿园</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尼勒克县第二（淑玲）幼儿园</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0.78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0.78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0.78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0.78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0.78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青年见习生通过在幼儿园学习，更好的理解幼儿的心理需求和发展需求，提高自身的业务水平和师德修养，在实际的教学中应用所学知识.幼儿园运转经费，为教师与学生营造良好的工作，学习环境，提升教师的工作积极性和幸福感。</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止2024年12月底，本项目已完成青年就业见习生人数达到1人，资金发放率达到100%，见习生补贴发放及时率100%，项目实际支出0.78万元，通过该项目的实施，有效提高见习生的业务水平，受益人员满意度达到100%，为待岗就业的见习生提供实践机会以及生活保障。</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指标1：青年见习生人数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指标1:资金发放准确率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指标1：见习生补贴发放及时率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指标1：运转经费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&lt;=0.32万元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0.32万元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指标2：见习生发放补助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&gt;=0.46万元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0.46万元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指标1：有效提高见习生的业务水平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受益人员满意度度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