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尼勒克县第二中学2024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（一）普及中小学义务教育，实施教育教学管理工作。</w:t>
      </w:r>
    </w:p>
    <w:p>
      <w:pPr>
        <w:spacing w:line="580" w:lineRule="exact"/>
        <w:ind w:firstLine="640"/>
        <w:jc w:val="both"/>
      </w:pPr>
      <w:r>
        <w:rPr>
          <w:rFonts w:ascii="仿宋_GB2312" w:hAnsi="仿宋_GB2312" w:eastAsia="仿宋_GB2312"/>
          <w:sz w:val="32"/>
        </w:rPr>
        <w:t>（二）贯彻执行党的教育方针政策，负责全校教学事务的贯彻、落实，指导和协调教务等各科室的教学及相关技术改造、建设等工作。</w:t>
      </w:r>
    </w:p>
    <w:p>
      <w:pPr>
        <w:spacing w:line="580" w:lineRule="exact"/>
        <w:ind w:firstLine="640"/>
        <w:jc w:val="both"/>
      </w:pPr>
      <w:r>
        <w:rPr>
          <w:rFonts w:ascii="仿宋_GB2312" w:hAnsi="仿宋_GB2312" w:eastAsia="仿宋_GB2312"/>
          <w:sz w:val="32"/>
        </w:rPr>
        <w:t>（三）严格按照《教学管理规范》要求和有关评估要求布置和解决处理日常教学事务。维护正常的教学秩序，杜绝各类教学事故的发生。</w:t>
      </w:r>
    </w:p>
    <w:p>
      <w:pPr>
        <w:spacing w:line="580" w:lineRule="exact"/>
        <w:ind w:firstLine="640"/>
        <w:jc w:val="both"/>
      </w:pPr>
      <w:r>
        <w:rPr>
          <w:rFonts w:ascii="仿宋_GB2312" w:hAnsi="仿宋_GB2312" w:eastAsia="仿宋_GB2312"/>
          <w:sz w:val="32"/>
        </w:rPr>
        <w:t>（四）执行国家颁布的《教育法》和《中小学德育大纲》，贯彻并执行党和国家关于加强和改进德育工作的各项方针、政策、法规和决定。</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尼勒克县第二中学2024年度，实有人数193人，其中：在职人员98人，增加3人；离休人员0人，增加0人；退休人员95人,增加3人。</w:t>
      </w:r>
    </w:p>
    <w:p>
      <w:pPr>
        <w:spacing w:line="580" w:lineRule="exact"/>
        <w:ind w:firstLine="640"/>
        <w:jc w:val="both"/>
      </w:pPr>
      <w:r>
        <w:rPr>
          <w:rFonts w:ascii="仿宋_GB2312" w:hAnsi="仿宋_GB2312" w:eastAsia="仿宋_GB2312"/>
          <w:sz w:val="32"/>
        </w:rPr>
        <w:t>尼勒克县第二中学无下属预算单位，下设4个科室，分别是：办公室、德育处、教研室、后勤室。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2024年度收入总计2,412.19万元，</w:t>
      </w:r>
      <w:r>
        <w:rPr>
          <w:rFonts w:ascii="仿宋_GB2312" w:hAnsi="仿宋_GB2312" w:eastAsia="仿宋_GB2312"/>
          <w:b w:val="0"/>
          <w:sz w:val="32"/>
        </w:rPr>
        <w:t>其中：本年收入合计2,362.95万元，使用非财政拨款结余（含专用结余）0.00万元，年初结转和结余49.24万元。</w:t>
      </w:r>
    </w:p>
    <w:p>
      <w:pPr>
        <w:spacing w:line="580" w:lineRule="exact"/>
        <w:ind w:firstLine="640"/>
        <w:jc w:val="both"/>
      </w:pPr>
      <w:r>
        <w:rPr>
          <w:rFonts w:ascii="仿宋_GB2312" w:hAnsi="仿宋_GB2312" w:eastAsia="仿宋_GB2312"/>
          <w:b/>
          <w:sz w:val="32"/>
        </w:rPr>
        <w:t>2024年度支出总计2,412.19万元，</w:t>
      </w:r>
      <w:r>
        <w:rPr>
          <w:rFonts w:ascii="仿宋_GB2312" w:hAnsi="仿宋_GB2312" w:eastAsia="仿宋_GB2312"/>
          <w:b w:val="0"/>
          <w:sz w:val="32"/>
        </w:rPr>
        <w:t>其中：本年支出合计2,363.68万元，结余分配0.00万元，年末结转和结余48.51万元。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增加62.00万元，增长2.64%，主要原因是：本年在职人员工资调增，社保、公积金基数调增，人员经费增加；本年在职人员增加，在职人员工资调增、社保、公积金基数调增，人员经费增加；本年2024年义务教育公用经费等项目资金较上年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本年收入2,362.95万元，</w:t>
      </w:r>
      <w:r>
        <w:rPr>
          <w:rFonts w:ascii="仿宋_GB2312" w:hAnsi="仿宋_GB2312" w:eastAsia="仿宋_GB2312"/>
          <w:b w:val="0"/>
          <w:sz w:val="32"/>
        </w:rPr>
        <w:t>其中：财政拨款收入2,266.75万元，占95.93%；上级补助收入0.00万元，占0.00%；事业收入0.00万元，占0.00%；经营收入0.00万元，占0.00%；附属单位上缴收入0.00万元，占0.00%；其他收入96.20万元，占4.07%。</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本年支出2,363.68万元，</w:t>
      </w:r>
      <w:r>
        <w:rPr>
          <w:rFonts w:ascii="仿宋_GB2312" w:hAnsi="仿宋_GB2312" w:eastAsia="仿宋_GB2312"/>
          <w:b w:val="0"/>
          <w:sz w:val="32"/>
        </w:rPr>
        <w:t>其中：基本支出2,363.68万元，占100.00%；项目支出0.00万元，占0.00%；上缴上级支出0.00万元，占0.00%；经营支出0.00万元，占0.00%；对附属单位补助支出0.00万元，占0.00%。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2024年度财政拨款收入总计2,266.75万元，</w:t>
      </w:r>
      <w:r>
        <w:rPr>
          <w:rFonts w:ascii="仿宋_GB2312" w:hAnsi="仿宋_GB2312" w:eastAsia="仿宋_GB2312"/>
          <w:b w:val="0"/>
          <w:sz w:val="32"/>
        </w:rPr>
        <w:t>其中：年初财政拨款结转和结余0.00万元，本年财政拨款收入2,266.75万元。</w:t>
      </w:r>
      <w:r>
        <w:rPr>
          <w:rFonts w:ascii="仿宋_GB2312" w:hAnsi="仿宋_GB2312" w:eastAsia="仿宋_GB2312"/>
          <w:b/>
          <w:sz w:val="32"/>
        </w:rPr>
        <w:t>财政拨款支出总计2,266.75万元，</w:t>
      </w:r>
      <w:r>
        <w:rPr>
          <w:rFonts w:ascii="仿宋_GB2312" w:hAnsi="仿宋_GB2312" w:eastAsia="仿宋_GB2312"/>
          <w:b w:val="0"/>
          <w:sz w:val="32"/>
        </w:rPr>
        <w:t>其中：年末财政拨款结转和结余0.00万元，本年财政拨款支出2,266.75万元。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10.58万元，增长0.47%，主要原因是：本年在职人员工资调增，社保、公积金基数调增，人员经费增加；本年在职人员增加，在职人员工资调增、社保、公积金基数调增，人员经费增加；本年2024年义务教育公用经费等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年初预算数2,224.24万元，决算数2,266.75万元，预决算差异率1.91%，主要原因是：本年在职人员增加，年中追加人员经费及人员工资、社保、公积金基数调增部分资金，导致预决算存在差异。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2024年度一般公共预算财政拨款支出2,266.75万元，</w:t>
      </w:r>
      <w:r>
        <w:rPr>
          <w:rFonts w:ascii="仿宋_GB2312" w:hAnsi="仿宋_GB2312" w:eastAsia="仿宋_GB2312"/>
          <w:b w:val="0"/>
          <w:sz w:val="32"/>
        </w:rPr>
        <w:t>占本年支出合计的95.90%。</w:t>
      </w:r>
      <w:r>
        <w:rPr>
          <w:rFonts w:ascii="仿宋_GB2312" w:hAnsi="仿宋_GB2312" w:eastAsia="仿宋_GB2312"/>
          <w:b/>
          <w:sz w:val="32"/>
        </w:rPr>
        <w:t>与上年相比，</w:t>
      </w:r>
      <w:r>
        <w:rPr>
          <w:rFonts w:ascii="仿宋_GB2312" w:hAnsi="仿宋_GB2312" w:eastAsia="仿宋_GB2312"/>
          <w:b w:val="0"/>
          <w:sz w:val="32"/>
        </w:rPr>
        <w:t>增加10.58万元，增长0.47%，主要原因是：本年在职人员工资调增，社保、公积金基数调增，人员经费增加；本年在职人员增加，在职人员工资调增、社保、公积金基数调增，人员经费增加；本年2024年义务教育公用经费等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年初预算数2,224.24万元，决算数2,266.75万元，预决算差异率1.91%，主要原因是：本年在职人员增加，年中追加人员经费及人员工资、社保、公积金基数调增部分资金，导致预决算存在差异。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1.教育支出(类)1,765.15万元,占77.87%。</w:t>
      </w:r>
    </w:p>
    <w:p>
      <w:pPr>
        <w:spacing w:line="580" w:lineRule="exact"/>
        <w:ind w:firstLine="640"/>
        <w:jc w:val="both"/>
      </w:pPr>
      <w:r>
        <w:rPr>
          <w:rFonts w:ascii="仿宋_GB2312" w:hAnsi="仿宋_GB2312" w:eastAsia="仿宋_GB2312"/>
          <w:b w:val="0"/>
          <w:sz w:val="32"/>
        </w:rPr>
        <w:t>2.社会保障和就业支出(类)290.48万元,占12.81%。</w:t>
      </w:r>
    </w:p>
    <w:p>
      <w:pPr>
        <w:spacing w:line="580" w:lineRule="exact"/>
        <w:ind w:firstLine="640"/>
        <w:jc w:val="both"/>
      </w:pPr>
      <w:r>
        <w:rPr>
          <w:rFonts w:ascii="仿宋_GB2312" w:hAnsi="仿宋_GB2312" w:eastAsia="仿宋_GB2312"/>
          <w:b w:val="0"/>
          <w:sz w:val="32"/>
        </w:rPr>
        <w:t>3.卫生健康支出(类)63.45万元,占2.80%。</w:t>
      </w:r>
    </w:p>
    <w:p>
      <w:pPr>
        <w:spacing w:line="580" w:lineRule="exact"/>
        <w:ind w:firstLine="640"/>
        <w:jc w:val="both"/>
      </w:pPr>
      <w:r>
        <w:rPr>
          <w:rFonts w:ascii="仿宋_GB2312" w:hAnsi="仿宋_GB2312" w:eastAsia="仿宋_GB2312"/>
          <w:b w:val="0"/>
          <w:sz w:val="32"/>
        </w:rPr>
        <w:t>4.住房保障支出(类)147.68万元,占6.52%。</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初中教育(项):支出决算数为1,765.15万元，比上年决算增加45.04万元，增长2.62%,主要原因是：本年在职人员工资调增，人员经费增加；本年在职人员增加，在职人员工资调增，人员经费增加；本年2024年义务教育公用经费等项目资金较上年增加。</w:t>
      </w:r>
    </w:p>
    <w:p>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2.社会保障和就业支出(类)行政事业单位养老支出(款)事业单位离退休(项):支出决算数为69.80万元，比上年决算增加15.04万元，增长27.47%,主要原因是：本年增加退休人员基础绩效奖，退休费支出增加。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157.13万元，比上年决算增加6.98万元，增长4.65%,主要原因是：本年在职人员工资基数调增，养老缴费基数上涨，相应支出增加；本年在职人员增加，养老保险缴费较上年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41.51万元，比上年决算减少2.35万元，下降5.36%,主要原因是：本年新增退休人员减少，职业年金缴费较上年减少。</w:t>
      </w:r>
    </w:p>
    <w:p>
      <w:pPr>
        <w:spacing w:line="580" w:lineRule="exact"/>
        <w:ind w:firstLine="640"/>
        <w:jc w:val="both"/>
      </w:pPr>
      <w:r>
        <w:rPr>
          <w:rFonts w:ascii="仿宋_GB2312" w:hAnsi="仿宋_GB2312" w:eastAsia="仿宋_GB2312"/>
          <w:b w:val="0"/>
          <w:sz w:val="32"/>
        </w:rPr>
        <w:t>5.社会保障和就业支出(类)抚恤(款)死亡抚恤(项):支出决算数为22.04万元，比上年决算减少41.60万元，下降65.37%,主要原因是：本年新增死亡人员较上年减少，死亡抚恤支出较上年减少。</w:t>
      </w:r>
    </w:p>
    <w:p>
      <w:pPr>
        <w:spacing w:line="580" w:lineRule="exact"/>
        <w:ind w:firstLine="640"/>
        <w:jc w:val="both"/>
      </w:pPr>
      <w:r>
        <w:rPr>
          <w:rFonts w:ascii="仿宋_GB2312" w:hAnsi="仿宋_GB2312" w:eastAsia="仿宋_GB2312"/>
          <w:b w:val="0"/>
          <w:sz w:val="32"/>
        </w:rPr>
        <w:t>6.卫生健康支出(类)行政事业单位医疗(款)事业单位医疗(项):支出决算数为63.45万元，比上年决算减少17.69万元，下降21.80%,主要原因是：因退休人员医疗保险制度改革，退休人员基本医疗不再由单位缴纳，导致经费较上年减少。</w:t>
      </w:r>
    </w:p>
    <w:p>
      <w:pPr>
        <w:spacing w:line="580" w:lineRule="exact"/>
        <w:ind w:firstLine="640"/>
        <w:jc w:val="both"/>
      </w:pPr>
      <w:r>
        <w:rPr>
          <w:rFonts w:ascii="仿宋_GB2312" w:hAnsi="仿宋_GB2312" w:eastAsia="仿宋_GB2312"/>
          <w:b w:val="0"/>
          <w:sz w:val="32"/>
        </w:rPr>
        <w:t>7.住房保障支出(类)住房改革支出(款)住房公积金(项):支出决算数为147.68万元，比上年决算增加5.16万元，增长3.62%,主要原因是：本年在职人员工资基数调增，公积金缴费基数上涨，相应支出增加；本年在职人员增加，住房公积金支出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2024年度一般公共预算财政拨款基本支出2,266.75万元，其中：</w:t>
      </w:r>
      <w:r>
        <w:rPr>
          <w:rFonts w:ascii="仿宋_GB2312" w:hAnsi="仿宋_GB2312" w:eastAsia="仿宋_GB2312"/>
          <w:b/>
          <w:sz w:val="32"/>
        </w:rPr>
        <w:t>人员经费2,153.19万元，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助学金、奖励金。</w:t>
      </w:r>
    </w:p>
    <w:p>
      <w:pPr>
        <w:spacing w:line="580" w:lineRule="exact"/>
        <w:ind w:firstLine="640"/>
        <w:jc w:val="both"/>
      </w:pPr>
      <w:r>
        <w:rPr>
          <w:rFonts w:ascii="仿宋_GB2312" w:hAnsi="仿宋_GB2312" w:eastAsia="仿宋_GB2312"/>
          <w:b/>
          <w:sz w:val="32"/>
        </w:rPr>
        <w:t>公用经费113.56万元，</w:t>
      </w:r>
      <w:r>
        <w:rPr>
          <w:rFonts w:ascii="仿宋_GB2312" w:hAnsi="仿宋_GB2312" w:eastAsia="仿宋_GB2312"/>
          <w:b w:val="0"/>
          <w:sz w:val="32"/>
        </w:rPr>
        <w:t>包括：办公费、印刷费、水费、电费、邮电费、取暖费、物业管理费、差旅费、维修（护）费、租赁费、培训费、专用材料费、劳务费、其他交通费用、办公设备购置、专用设备购置。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2024年度尼勒克县第二中学（事业单位）公用经费支出113.56万元，比上年减少19.99万元，下降14.97%，主要原因是：严控经费支出，厉行节约，减少经费支出。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2024年度政府采购支出总额15.27万元，其中：政府采购货物支出15.27万元、政府采购工程支出0.00万元、政府采购服务支出0.00万元。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授予中小企业合同金额14.89万元，占政府采购支出总额的97.51%，其中：授予小微企业合同金额14.89万元，占政府采购支出总额的97.51%。</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15,832.00平方米，价值984.20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2,363.68万元，实际执行总额2,363.68万元；预算绩效评价项目1个，全年预算数97.41万元，全年执行数96.93万元。预算绩效管理取得的成效：一是始终坚持以习近平新时代中国特色社会主义思想为指导，落实立德树人根本任务，加强学生行为习惯养成教育，不断提高小学生思想道德素质和文明素养。通过重大节日、纪念日、传统节日等以多种形式深入开展理想信念教育、爱国主义教育、社会主义核心价值观教育、民族团结教育、中华优秀传统文化教育等，并扎实开展好青少年“筑基”工程与“中华优秀传统文化进校园进校园”等活动，不断增强师生“五个认同”，铸牢中华民族共同体意识。学校认真落实思政课制度，学校领导带头讲思政课带动学校思政教师不断提升教育教学能力，发挥好课程育人作用，并不断加强心理健康教育工作，强化班主任的班级管理能力，进一步提升校园文化建设，努力营造积极向上的校园文化氛围,提高学校德育工作的实效；二是广泛开展教研活动，促进教师课堂教学的改革，建立教师专业发展的教研机制，（1）规定每周星期二为教研活动日，分别进行课改通识培训，收看典型课例，交流课改经验等。（2）规定每两周，进行一次集体备课，互相探讨。（3）提升教师专业化水平，为教师搭建平台，听课学习或以“和乐课堂”送课，取长补短。（4）坚持校本培训，按校本培训计划开展校本培训，内容涉及课件制作、硬笔书法比赛、三笔字比赛、教学大比武、教案设计比赛等；三是：建立健全各类预案，使各类安全有人管、有人负责。并组织各类演练，使师生熟悉各类危险的应急处置过程。确保了校园不发生安全事故。加强教育，促进自护。利用主题班会、队会、安全专题讲座强化对各类安全教育，放学前、周末、节假日进行“1530”安全教育。确保了学校安全稳定，一年来学校没有发生任何安全事故。发现的问题及原因：一是教学质量与及教育需求的结构性矛盾。新时代教育变革速度与教师能力更新节奏存在差异。教师的教学质量与家长不断增强的教育需之间有差距，面对AI教学工具、项目式学习等新模式存在应用断层，教师能力提升迫在眉睫；二是年龄结构失衡引发系统性风险。教师年龄日趋老龄化，学校没有新鲜血液注入，活力不强，导致教学创新动能衰竭，数字化教学设备闲置。下一步改进措施：一是继续加大学校教育改革的力度，因地制宜，创造条件，提高我校教师教育改革思想认识；二是强化教师培养、培训，特别是提高教师的专业能力和水平；三是创新活动，激发教师能动性，让教师在紧张的教学中，充分释放压力，解放自我，心情愉悦，更好的服务教育教学；四是严格考核，在绩效考核上下功夫，切实体现出奖优罚劣。激发教师投身教育和奉献教育的热情和精神。具体附整体支出绩效自评表，项目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尼勒克县第二中学</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2,322.08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2,363.68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2,363.68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227.41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247.52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247.52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1,939.29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2,019.23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2,019.23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155.38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96.93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96.93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以筑牢中华民族共同体意识为载体，根据初中学生的年龄特点，多方面加强学生的爱国主义教育，民族团结教育、感恩教育，理想信念教育、法制教育、生命安全与健康等教育，学校2024年计划开展大型校园活动3次。因材施教、因地制宜，计划开展教研公开课10次以上。努力提高教师整体教学水平，开展专递课堂、教师外出培训10人以上。提高家校联系效果，开展三进两联一交友活动10次。</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开展大型校园活动次数达到4次，开展教研、公开课活动次数达到10次，开展“三进两联一交友”次数达到10次，专递课堂、外出讲课大赛、外出培训教师人数达到15人。多方面加强学生的爱国主义教育，民族团结教，感恩教育，理想信念教育，法制教育生命安全与健康等教育。</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指标1：开展大型校园活动次数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&gt;=4次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学校工作计划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指标2：开展教研、公开课活动次数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&gt;=10次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学校工作计划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指标3：开展“三进两联一交友”次数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&gt;=10次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学校工作计划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指标4：专递课堂、外出讲课大赛、外出培训教师人数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&gt;=15人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学校工作计划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2024年单位自有资金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尼勒克县第二中学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尼勒克县第二中学</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97.41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97.41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96.93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99.51%</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9.88</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97.41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97.41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目标1：项目计划对学生课后托管服务，减轻家长看管负担，促进学生健康成长。目标2：保障学校正常开展工作，保障学生能在学校得到良好的教育。</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课后托管服务人数达到1230人，课后托管社团成果展示次数达到4次，办公费保障人数达到118人，托管服务学生人数达到117人，托管学生覆盖率达到96.89%，教师托管费发放金额达到90.43万元，保障运转经费数达到6.5万元，通过项目的实施，项目收益学生数达到1230人。中学课后托管提高了教育的便利性与公平性。对忙碌家长而言，解决接送难题，孩子安全有保障。</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指标1：享受课后托管服务费人数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&gt;=1276人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1230人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96.39%</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9.64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截至2024年12月底，由于个别学生家长不愿托管，导致出现偏差。</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指标3：办公费保障人数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&gt;=103人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118人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指标2：课后托管服务人数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&gt;=117人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117人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指标2：托管学生覆盖率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96.89%</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指标1：教师托管服务费发成本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&lt;=90.43万元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90.43万元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指标3：保障托管经费数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&lt;=6.98万元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截至2024年12月底，由于个别学生家长不愿托管，导致出现偏差。</w:t>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指标1：项目受益学生数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&gt;=1276人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1230人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96.39%</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28.92</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截至2024年12月底，由于个别学生家长不愿托管，导致出现偏差。</w:t>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98.44分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