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积极稳妥地推进教育改革，按教育规律办事，不断提高教育质量。坚持教书育人，服务育人，环境育人方针，加强对学生的思想品德教育，使学生的德智体全面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尼勒克县第一中学2024年度，实有人数315人，其中：在职人员209人，增加9人；离休人员0人，增加0人；退休人员106人,增加5人。</w:t>
      </w:r>
    </w:p>
    <w:p>
      <w:pPr>
        <w:spacing w:line="580" w:lineRule="exact"/>
        <w:ind w:firstLine="640"/>
        <w:jc w:val="both"/>
      </w:pPr>
      <w:r>
        <w:rPr>
          <w:rFonts w:ascii="仿宋_GB2312" w:hAnsi="仿宋_GB2312" w:eastAsia="仿宋_GB2312"/>
          <w:sz w:val="32"/>
        </w:rPr>
        <w:t>尼勒克县第一中学无下属预算单位，下设6个科室，分别是：办公室、政教室、总务室、财务室、党建室、档案室。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2024年度收入总计5,004.12万元，</w:t>
      </w:r>
      <w:r>
        <w:rPr>
          <w:rFonts w:ascii="仿宋_GB2312" w:hAnsi="仿宋_GB2312" w:eastAsia="仿宋_GB2312"/>
          <w:b w:val="0"/>
          <w:sz w:val="32"/>
        </w:rPr>
        <w:t>其中：本年收入合计4,931.86万元，使用非财政拨款结余（含专用结余）0.00万元，年初结转和结余72.26万元。</w:t>
      </w:r>
    </w:p>
    <w:p>
      <w:pPr>
        <w:spacing w:line="580" w:lineRule="exact"/>
        <w:ind w:firstLine="640"/>
        <w:jc w:val="both"/>
      </w:pPr>
      <w:r>
        <w:rPr>
          <w:rFonts w:ascii="仿宋_GB2312" w:hAnsi="仿宋_GB2312" w:eastAsia="仿宋_GB2312"/>
          <w:b/>
          <w:sz w:val="32"/>
        </w:rPr>
        <w:t>2024年度支出总计5,004.12万元，</w:t>
      </w:r>
      <w:r>
        <w:rPr>
          <w:rFonts w:ascii="仿宋_GB2312" w:hAnsi="仿宋_GB2312" w:eastAsia="仿宋_GB2312"/>
          <w:b w:val="0"/>
          <w:sz w:val="32"/>
        </w:rPr>
        <w:t>其中：本年支出合计4,920.09万元，结余分配0.00万元，年末结转和结余84.03万元。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227.22万元，增长4.76%，主要原因是：本年在职人员工资调增，社保、公积金基数调增，人员经费增加；本年在职人员增加，在职人员工资调增、社保、公积金基数调增，人员经费增加；学生人数增加，托管费收入增加，助学金及建档立卡免学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本年收入4,931.86万元，</w:t>
      </w:r>
      <w:r>
        <w:rPr>
          <w:rFonts w:ascii="仿宋_GB2312" w:hAnsi="仿宋_GB2312" w:eastAsia="仿宋_GB2312"/>
          <w:b w:val="0"/>
          <w:sz w:val="32"/>
        </w:rPr>
        <w:t>其中：财政拨款收入4,497.72万元，占91.20%；上级补助收入0.00万元，占0.00%；事业收入274.34万元，占5.56%；经营收入0.00万元，占0.00%；附属单位上缴收入0.00万元，占0.00%；其他收入159.81万元，占3.24%。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本年支出4,920.09万元，</w:t>
      </w:r>
      <w:r>
        <w:rPr>
          <w:rFonts w:ascii="仿宋_GB2312" w:hAnsi="仿宋_GB2312" w:eastAsia="仿宋_GB2312"/>
          <w:b w:val="0"/>
          <w:sz w:val="32"/>
        </w:rPr>
        <w:t>其中：基本支出4,920.09万元，占100.00%；项目支出0.00万元，占0.00%；上缴上级支出0.00万元，占0.00%；经营支出0.00万元，占0.00%；对附属单位补助支出0.00万元，占0.00%。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2024年度财政拨款收入总计4,497.72万元，</w:t>
      </w:r>
      <w:r>
        <w:rPr>
          <w:rFonts w:ascii="仿宋_GB2312" w:hAnsi="仿宋_GB2312" w:eastAsia="仿宋_GB2312"/>
          <w:b w:val="0"/>
          <w:sz w:val="32"/>
        </w:rPr>
        <w:t>其中：年初财政拨款结转和结余0.00万元，本年财政拨款收入4,497.72万元。</w:t>
      </w:r>
      <w:r>
        <w:rPr>
          <w:rFonts w:ascii="仿宋_GB2312" w:hAnsi="仿宋_GB2312" w:eastAsia="仿宋_GB2312"/>
          <w:b/>
          <w:sz w:val="32"/>
        </w:rPr>
        <w:t>财政拨款支出总计4,497.72万元，</w:t>
      </w:r>
      <w:r>
        <w:rPr>
          <w:rFonts w:ascii="仿宋_GB2312" w:hAnsi="仿宋_GB2312" w:eastAsia="仿宋_GB2312"/>
          <w:b w:val="0"/>
          <w:sz w:val="32"/>
        </w:rPr>
        <w:t>其中：年末财政拨款结转和结余0.00万元，本年财政拨款支出4,497.72万元。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134.69万元，增长3.09%，主要原因是：本年在职人员工资调增，社保、公积金基数调增，人员经费增加；本年在职人员增加，在职人员工资调增、社保、公积金基数调增，人员经费增加；学生人数增加，助学金及建档立卡免学费增加。</w:t>
      </w:r>
      <w:r>
        <w:rPr>
          <w:rFonts w:ascii="仿宋_GB2312" w:hAnsi="仿宋_GB2312" w:eastAsia="仿宋_GB2312"/>
          <w:b/>
          <w:sz w:val="32"/>
        </w:rPr>
        <w:t>与年初预算相比，</w:t>
      </w:r>
      <w:r>
        <w:rPr>
          <w:rFonts w:ascii="仿宋_GB2312" w:hAnsi="仿宋_GB2312" w:eastAsia="仿宋_GB2312"/>
          <w:b w:val="0"/>
          <w:sz w:val="32"/>
        </w:rPr>
        <w:t>年初预算数4,226.47万元，决算数4,497.72万元，预决算差异率6.42%，主要原因是：本年在职人员增加，年中追加人员经费及人员工资、社保、公积金基数调增部分资金，导致预决算存在差异。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2024年度一般公共预算财政拨款支出4,497.72万元，</w:t>
      </w:r>
      <w:r>
        <w:rPr>
          <w:rFonts w:ascii="仿宋_GB2312" w:hAnsi="仿宋_GB2312" w:eastAsia="仿宋_GB2312"/>
          <w:b w:val="0"/>
          <w:sz w:val="32"/>
        </w:rPr>
        <w:t>占本年支出合计的91.42%。</w:t>
      </w:r>
      <w:r>
        <w:rPr>
          <w:rFonts w:ascii="仿宋_GB2312" w:hAnsi="仿宋_GB2312" w:eastAsia="仿宋_GB2312"/>
          <w:b/>
          <w:sz w:val="32"/>
        </w:rPr>
        <w:t>与上年相比，</w:t>
      </w:r>
      <w:r>
        <w:rPr>
          <w:rFonts w:ascii="仿宋_GB2312" w:hAnsi="仿宋_GB2312" w:eastAsia="仿宋_GB2312"/>
          <w:b w:val="0"/>
          <w:sz w:val="32"/>
        </w:rPr>
        <w:t>增加134.69万元，增长3.09%，主要原因是：本年在职人员工资调增，社保、公积金基数调增，人员经费增加；本年在职人员增加，在职人员工资调增、社保、公积金基数调增，人员经费增加；学生人数增加，助学金及建档立卡免学费增加。</w:t>
      </w:r>
      <w:r>
        <w:rPr>
          <w:rFonts w:ascii="仿宋_GB2312" w:hAnsi="仿宋_GB2312" w:eastAsia="仿宋_GB2312"/>
          <w:b/>
          <w:sz w:val="32"/>
        </w:rPr>
        <w:t>与年初预算相比,</w:t>
      </w:r>
      <w:r>
        <w:rPr>
          <w:rFonts w:ascii="仿宋_GB2312" w:hAnsi="仿宋_GB2312" w:eastAsia="仿宋_GB2312"/>
          <w:b w:val="0"/>
          <w:sz w:val="32"/>
        </w:rPr>
        <w:t>年初预算数4,226.47万元，决算数4,497.72万元，预决算差异率6.42%，主要原因是：本年在职人员增加，年中追加人员经费及人员工资、社保、公积金基数调增部分资金，导致预决算存在差异。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1.教育支出(类)3,556.95万元,占79.08%。</w:t>
      </w:r>
    </w:p>
    <w:p>
      <w:pPr>
        <w:spacing w:line="580" w:lineRule="exact"/>
        <w:ind w:firstLine="640"/>
        <w:jc w:val="both"/>
      </w:pPr>
      <w:r>
        <w:rPr>
          <w:rFonts w:ascii="仿宋_GB2312" w:hAnsi="仿宋_GB2312" w:eastAsia="仿宋_GB2312"/>
          <w:b w:val="0"/>
          <w:sz w:val="32"/>
        </w:rPr>
        <w:t>2.社会保障和就业支出(类)508.56万元,占11.31%。</w:t>
      </w:r>
    </w:p>
    <w:p>
      <w:pPr>
        <w:spacing w:line="580" w:lineRule="exact"/>
        <w:ind w:firstLine="640"/>
        <w:jc w:val="both"/>
      </w:pPr>
      <w:r>
        <w:rPr>
          <w:rFonts w:ascii="仿宋_GB2312" w:hAnsi="仿宋_GB2312" w:eastAsia="仿宋_GB2312"/>
          <w:b w:val="0"/>
          <w:sz w:val="32"/>
        </w:rPr>
        <w:t>3.卫生健康支出(类)129.25万元,占2.87%。</w:t>
      </w:r>
    </w:p>
    <w:p>
      <w:pPr>
        <w:spacing w:line="580" w:lineRule="exact"/>
        <w:ind w:firstLine="640"/>
        <w:jc w:val="both"/>
      </w:pPr>
      <w:r>
        <w:rPr>
          <w:rFonts w:ascii="仿宋_GB2312" w:hAnsi="仿宋_GB2312" w:eastAsia="仿宋_GB2312"/>
          <w:b w:val="0"/>
          <w:sz w:val="32"/>
        </w:rPr>
        <w:t>4.住房保障支出(类)302.95万元,占6.74%。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1.教育支出(类)普通教育(款)初中教育(项):支出决算数为0.00万元，比上年决算减少31.92万元，下降100.00%,主要原因是：功能科目调整，本年取暖费调整至高中教育科目列支，相应经费减少。</w:t>
      </w:r>
    </w:p>
    <w:p>
      <w:pPr>
        <w:spacing w:line="580" w:lineRule="exact"/>
        <w:ind w:firstLine="640"/>
        <w:jc w:val="both"/>
      </w:pPr>
      <w:r>
        <w:rPr>
          <w:rFonts w:ascii="仿宋_GB2312" w:hAnsi="仿宋_GB2312" w:eastAsia="仿宋_GB2312"/>
          <w:b w:val="0"/>
          <w:sz w:val="32"/>
        </w:rPr>
        <w:t>2.教育支出(类)普通教育(款)高中教育(项):支出决算数为3,556.95万元，比上年决算增加38.59万元，增长1.10%,主要原因是：本年在职人员工资调增，人员经费增加；本年在职人员增加，人员经费增加；学生人数增加，助学金及建档立卡免学费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3.社会保障和就业支出(类)行政事业单位养老支出(款)事业单位离退休(项):支出决算数为80.08万元，比上年决算增加28.99万元，增长56.74%,主要原因是：本年增加退休人员基础绩效奖，退休费支出增加。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325.59万元，比上年决算增加48.71万元，增长17.59%,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83.39万元，比上年决算增加14.04万元，增长20.25%,主要原因是：本年新增退休人员增加，职业年金缴费支出增加。</w:t>
      </w:r>
    </w:p>
    <w:p>
      <w:pPr>
        <w:spacing w:line="580" w:lineRule="exact"/>
        <w:ind w:firstLine="640"/>
        <w:jc w:val="both"/>
      </w:pPr>
      <w:r>
        <w:rPr>
          <w:rFonts w:ascii="仿宋_GB2312" w:hAnsi="仿宋_GB2312" w:eastAsia="仿宋_GB2312"/>
          <w:b w:val="0"/>
          <w:sz w:val="32"/>
        </w:rPr>
        <w:t>6.社会保障和就业支出(类)抚恤(款)死亡抚恤(项):支出决算数为19.51万元，比上年决算增加19.51万元，增长100.00%,主要原因是：本年新增死亡人员，死亡抚恤支出增加。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129.25万元，比上年决算减少38.54万元，下降22.97%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302.95万元，比上年决算增加55.31万元，增长22.33%,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2024年度一般公共预算财政拨款基本支出4,497.72万元，其中：</w:t>
      </w:r>
      <w:r>
        <w:rPr>
          <w:rFonts w:ascii="仿宋_GB2312" w:hAnsi="仿宋_GB2312" w:eastAsia="仿宋_GB2312"/>
          <w:b/>
          <w:sz w:val="32"/>
        </w:rPr>
        <w:t>人员经费4,218.74万元，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其他对个人和家庭的补助。</w:t>
      </w:r>
    </w:p>
    <w:p>
      <w:pPr>
        <w:spacing w:line="580" w:lineRule="exact"/>
        <w:ind w:firstLine="640"/>
        <w:jc w:val="both"/>
      </w:pPr>
      <w:r>
        <w:rPr>
          <w:rFonts w:ascii="仿宋_GB2312" w:hAnsi="仿宋_GB2312" w:eastAsia="仿宋_GB2312"/>
          <w:b/>
          <w:sz w:val="32"/>
        </w:rPr>
        <w:t>公用经费278.98万元，</w:t>
      </w:r>
      <w:r>
        <w:rPr>
          <w:rFonts w:ascii="仿宋_GB2312" w:hAnsi="仿宋_GB2312" w:eastAsia="仿宋_GB2312"/>
          <w:b w:val="0"/>
          <w:sz w:val="32"/>
        </w:rPr>
        <w:t>包括：办公费、印刷费、电费、邮电费、取暖费、物业管理费、维修（护）费、培训费、专用材料费、其他交通费用、办公设备购置。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2024年度尼勒克县第一中学（事业单位）公用经费支出278.98万元，比上年减少6.01万元，下降2.11%，主要原因是：严控经费支出，厉行节约，减少经费支出。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71,917.68平方米，价值15,494.98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4,920.09万元，实际执行总额4,920.09万元；预算绩效评价项目3个，全年预算数740.18万元，全年执行数740.18万元。预算绩效管理取得的成效：一是需求调研至关重要：在项目启动前，我们对学生进行排查，我们对学生和家长进行了广泛的需求调研。通过调研，我们明确了目标群体，为项目的顺利实施奠定了坚实基础；二是师资队伍专业化：我们组建了一支由专业教师的师资队伍，他们具备丰富的教育经验和专业技能。师资队伍的专业化保证了服务的质量和效果，赢得了学生和家长的信任和好评。发现的问题及原因：一是师资队伍需进一步加强：虽然我们的师资队伍已经具备了一定的专业水平，但仍需不断加强培训和提高；二是国家助学金管理发放程序仍不够健全。各环节衔接不流畅，收集材料、评审过程耗时太长，导致助学金不能及时发放至学生手中。对学生的材料审核仍不够到位，看到有扶贫办、民政部门盖章就给学生认定了贫困，未能主动与民政部门和扶贫办进行对接，核实学生上交材料。导致部分学生的低保在本年已经取消却仍在享受助学金政策。对国家资助政策的宣传力度仍不够。下一步改进措施：一是加大师资培训力度，提高教师的专业素养和服务意识，为提供更好的服务奠定基础。落实好学校各项国家资助补助政策通过发放学生补助资金，达到实现教育公平显著提升，满足家庭经济困难学生基本学习生活需求，提升职业教育就业竞争力；二是在今后的工作中，我们要更加用心将国家助学政策读懂吃透，严格按照助学金的规定进行管理发放。要进一步加大国家政策的宣传，让家长知道助学金是用于孩子的学习和生活的。是国家给予家庭经济困难家庭学生的优惠政策。我们要用好国家政策，认真贯彻落实国家资助政策精神。健全管理评审发放程序，严格把关做好每个环节的工作，真正把党和政府的关怀传递给每一个需要帮助的学生。进一步完善和规范有关贫困生的信息，资料的收集与整理，积极与扶贫办、民政部门对接，严审学生上交的材料，确认学生的家庭经济信息准确可靠。做到有据可查，笔笔落实。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4,929.28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4,920.09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4,920.09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242.86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4,091.13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4,091.13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542.20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542.20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按教育规律办学不断提高教育质量，以人为本，培养学生促进学生全面发展。确保学校工作正常开展。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学生艺术节、毕业典礼、开学典礼次数达到4次，开展学生、教师运动会达到2次，开展安全教育、德育教育次数达到37次，开展教师送课下乡、外出培训、参加讲课大赛的次数达到53次。按教育规律办学不断提高教育质量，以人为本，培养学生促进学生全面发展，确保学校工作正常开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指标1：开展学生艺术节、毕业典礼、开学典礼次数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指标2：开展学生、教师运动会</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指标3：开展安全教育、德育教育次数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指标4：开展教师送课下乡、外出培训、参加讲课大赛的次数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学校教科研计划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2024年学生资助补助高中助学金、免学费项目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286.76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br/>
              <w:t>根据2024年学生资助补助经费预算（中央直达资金）通知 伊州财教【2023】70号 、2024年学生资助补助经费预算【自治区直达技校助学金】的通知伊州财教【2023】83号文件，2024年学生资助补助经费预算【自治区直达技校助学金】的通知伊州财教【2023】19号文件，要求落实普通高中学校各项国家资助补助政策通过发放学生补助资金，达到实现教育公平显著提升，满足家庭经济困难学生基本学习生活需求。</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截至2024年12月底，该项目已安排享受助学金人数达到1038人，享受免学费学生人数达到699人，资助政策助学金覆盖率达到100%，资助政策免学费覆盖率 达到100%，资助资金及时率达到100%，普通高中国家助学金资助标准达到2000元/人/学年，项目实际支出286.76万元，通过项目的实施减轻学生家庭经济困难，享受资助学生满意度达到100%。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指标1：享受国家助学金学生人数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指标2：享受免学费学生人数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指标1：资助学生覆盖率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指标1：高中国家助学金发放及时率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指标1：高中助学金标准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=2000元/每人/每学年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2000元/每人/每学年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指标2：高中免学费标准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=1430元/每人/每学年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1430元/每人/每学年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指标1：减轻学生就学家庭经济负担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有效减轻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422.33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422.33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422.33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422.33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422.33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1.保障学生正常托管，逐步提高学生参与社团活动积极性，定期举办社团成果展示，提高学生课余时间利用率，减轻家长看管负担，促进学生健康成长；</w:t>
              <w:br/>
              <w:t>2.项目计划保障234名工作人员正常开展工作，提升教学质量。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教师课后延时服务人数达到247人，托管服务学生人数达到3432人，学校在校生人数达到3458人，托管学生覆盖率达到99.61%，项目实际支出422.33万元，通过项目的实施，服务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指标1：教师课后延时服务人数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&gt;=3290人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指标3：学校在校生人数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&gt;=3306人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3458人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99.61%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指标2：公用运转经费数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&lt;=270.23万元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270.23万元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配置标准化考点防考试作弊设备</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配置标准化考点防作弊设备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信号屏蔽器数量达到73台，手持金属探测器达到73台，安检门达到2台，设备验收合格率达到100%，信息屏蔽器价格为1400元/台，手持式金属探测器价格120元/台，安检门价格为100000元/台，项目实际支出31.09万元。通过项目的实施，保障大型考试运转设备正常运行。配置标准化考点防考试作弊设备已投入使用，大大减轻了考务人员工作压力，防作弊设备在考试中起到了公平、公正的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指标1：信号屏蔽器数量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指标2：手持金属探测器数量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指标3：安检门数量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指标1：信息屏蔽器价格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指标2：手持式金属探测器价格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指标3：安检门价格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指标1：有效提升考试质量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