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尼勒克县科蒙乡恰哈拉木小学2024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全面贯彻执行党和国家有关教育工作的方针、政策和法规，执行自治区的教育法规、实施办法和管理条例。贯彻执行党的路线、方针、政策，坚持社会主义办学方向。</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尼勒克县科蒙乡恰哈拉木小学2024年度，实有人数29人，其中：在职人员23人，增加3人；离休人员0人，增加0人；退休人员6人,增加0人。</w:t>
      </w:r>
    </w:p>
    <w:p>
      <w:pPr>
        <w:spacing w:line="580" w:lineRule="exact"/>
        <w:ind w:firstLine="640"/>
        <w:jc w:val="both"/>
      </w:pPr>
      <w:r>
        <w:rPr>
          <w:rFonts w:ascii="仿宋_GB2312" w:hAnsi="仿宋_GB2312" w:eastAsia="仿宋_GB2312"/>
          <w:sz w:val="32"/>
        </w:rPr>
        <w:t>尼勒克县科蒙乡恰哈拉木小学无下属预算单位，下设5个科室，分别是：政教处、总务处、财务室、党建办、书记室。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2024年度收入总计497.43万元，</w:t>
      </w:r>
      <w:r>
        <w:rPr>
          <w:rFonts w:ascii="仿宋_GB2312" w:hAnsi="仿宋_GB2312" w:eastAsia="仿宋_GB2312"/>
          <w:b w:val="0"/>
          <w:sz w:val="32"/>
        </w:rPr>
        <w:t>其中：本年收入合计491.00万元，使用非财政拨款结余（含专用结余）0.00万元，年初结转和结余6.43万元。</w:t>
      </w:r>
    </w:p>
    <w:p>
      <w:pPr>
        <w:spacing w:line="580" w:lineRule="exact"/>
        <w:ind w:firstLine="640"/>
        <w:jc w:val="both"/>
      </w:pPr>
      <w:r>
        <w:rPr>
          <w:rFonts w:ascii="仿宋_GB2312" w:hAnsi="仿宋_GB2312" w:eastAsia="仿宋_GB2312"/>
          <w:b/>
          <w:sz w:val="32"/>
        </w:rPr>
        <w:t>2024年度支出总计497.43万元，</w:t>
      </w:r>
      <w:r>
        <w:rPr>
          <w:rFonts w:ascii="仿宋_GB2312" w:hAnsi="仿宋_GB2312" w:eastAsia="仿宋_GB2312"/>
          <w:b w:val="0"/>
          <w:sz w:val="32"/>
        </w:rPr>
        <w:t>其中：本年支出合计491.64万元，结余分配0.00万元，年末结转和结余5.79万元。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增加49.56万元，增长11.07%，主要原因是：本年在职人员增加，在职人员工资调增、社保、公积金基数调增，人员经费增加；增加2021-2023年学前保教费县配套资金。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本年收入491.00万元，</w:t>
      </w:r>
      <w:r>
        <w:rPr>
          <w:rFonts w:ascii="仿宋_GB2312" w:hAnsi="仿宋_GB2312" w:eastAsia="仿宋_GB2312"/>
          <w:b w:val="0"/>
          <w:sz w:val="32"/>
        </w:rPr>
        <w:t>其中：财政拨款收入479.09万元，占97.57%；上级补助收入0.00万元，占0.00%；事业收入0.00万元，占0.00%；经营收入0.00万元，占0.00%；附属单位上缴收入0.00万元，占0.00%；其他收入11.91万元，占2.43%。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本年支出491.64万元，</w:t>
      </w:r>
      <w:r>
        <w:rPr>
          <w:rFonts w:ascii="仿宋_GB2312" w:hAnsi="仿宋_GB2312" w:eastAsia="仿宋_GB2312"/>
          <w:b w:val="0"/>
          <w:sz w:val="32"/>
        </w:rPr>
        <w:t>其中：基本支出491.64万元，占100.00%；项目支出0.00万元，占0.00%；上缴上级支出0.00万元，占0.00%；经营支出0.00万元，占0.00%；对附属单位补助支出0.00万元，占0.00%。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2024年度财政拨款收入总计479.09万元，</w:t>
      </w:r>
      <w:r>
        <w:rPr>
          <w:rFonts w:ascii="仿宋_GB2312" w:hAnsi="仿宋_GB2312" w:eastAsia="仿宋_GB2312"/>
          <w:b w:val="0"/>
          <w:sz w:val="32"/>
        </w:rPr>
        <w:t>其中：年初财政拨款结转和结余0.00万元，本年财政拨款收入479.09万元。</w:t>
      </w:r>
      <w:r>
        <w:rPr>
          <w:rFonts w:ascii="仿宋_GB2312" w:hAnsi="仿宋_GB2312" w:eastAsia="仿宋_GB2312"/>
          <w:b/>
          <w:sz w:val="32"/>
        </w:rPr>
        <w:t>财政拨款支出总计479.09万元，</w:t>
      </w:r>
      <w:r>
        <w:rPr>
          <w:rFonts w:ascii="仿宋_GB2312" w:hAnsi="仿宋_GB2312" w:eastAsia="仿宋_GB2312"/>
          <w:b w:val="0"/>
          <w:sz w:val="32"/>
        </w:rPr>
        <w:t>其中：年末财政拨款结转和结余0.00万元，本年财政拨款支出479.09万元。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增加45.51万元，增长10.50%，主要原因是：本年在职人员增加，在职人员工资调增、社保、公积金基数调增，人员经费增加；增加2021-2023年学前保教费县配套资金。</w:t>
      </w:r>
      <w:r>
        <w:rPr>
          <w:rFonts w:ascii="仿宋_GB2312" w:hAnsi="仿宋_GB2312" w:eastAsia="仿宋_GB2312"/>
          <w:b/>
          <w:sz w:val="32"/>
        </w:rPr>
        <w:t>与年初预算相比，</w:t>
      </w:r>
      <w:r>
        <w:rPr>
          <w:rFonts w:ascii="仿宋_GB2312" w:hAnsi="仿宋_GB2312" w:eastAsia="仿宋_GB2312"/>
          <w:b w:val="0"/>
          <w:sz w:val="32"/>
        </w:rPr>
        <w:t>年初预算数423.12万元，决算数479.09万元，预决算差异率13.23%，主要原因是：本年在职人员增加，年中追加人员经费及人员工资、社保、公积金基数调增部分资金，导致预决算存在差异。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2024年度一般公共预算财政拨款支出479.09万元，</w:t>
      </w:r>
      <w:r>
        <w:rPr>
          <w:rFonts w:ascii="仿宋_GB2312" w:hAnsi="仿宋_GB2312" w:eastAsia="仿宋_GB2312"/>
          <w:b w:val="0"/>
          <w:sz w:val="32"/>
        </w:rPr>
        <w:t>占本年支出合计的97.45%。</w:t>
      </w:r>
      <w:r>
        <w:rPr>
          <w:rFonts w:ascii="仿宋_GB2312" w:hAnsi="仿宋_GB2312" w:eastAsia="仿宋_GB2312"/>
          <w:b/>
          <w:sz w:val="32"/>
        </w:rPr>
        <w:t>与上年相比，</w:t>
      </w:r>
      <w:r>
        <w:rPr>
          <w:rFonts w:ascii="仿宋_GB2312" w:hAnsi="仿宋_GB2312" w:eastAsia="仿宋_GB2312"/>
          <w:b w:val="0"/>
          <w:sz w:val="32"/>
        </w:rPr>
        <w:t>增加45.51万元，增长10.50%，主要原因是：本年在职人员增加，在职人员工资调增、社保、公积金基数调增，人员经费增加；增加2021-2023年学前保教费县配套资金。</w:t>
      </w:r>
      <w:r>
        <w:rPr>
          <w:rFonts w:ascii="仿宋_GB2312" w:hAnsi="仿宋_GB2312" w:eastAsia="仿宋_GB2312"/>
          <w:b/>
          <w:sz w:val="32"/>
        </w:rPr>
        <w:t>与年初预算相比,</w:t>
      </w:r>
      <w:r>
        <w:rPr>
          <w:rFonts w:ascii="仿宋_GB2312" w:hAnsi="仿宋_GB2312" w:eastAsia="仿宋_GB2312"/>
          <w:b w:val="0"/>
          <w:sz w:val="32"/>
        </w:rPr>
        <w:t>年初预算数423.12万元，决算数479.09万元，预决算差异率13.23%，主要原因是：本年在职人员增加，年中追加人员经费及人员工资、社保、公积金基数调增部分资金，导致预决算存在差异。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1.教育支出(类)387.48万元,占80.88%。</w:t>
      </w:r>
    </w:p>
    <w:p>
      <w:pPr>
        <w:spacing w:line="580" w:lineRule="exact"/>
        <w:ind w:firstLine="640"/>
        <w:jc w:val="both"/>
      </w:pPr>
      <w:r>
        <w:rPr>
          <w:rFonts w:ascii="仿宋_GB2312" w:hAnsi="仿宋_GB2312" w:eastAsia="仿宋_GB2312"/>
          <w:b w:val="0"/>
          <w:sz w:val="32"/>
        </w:rPr>
        <w:t>2.社会保障和就业支出(类)40.55万元,占8.46%。</w:t>
      </w:r>
    </w:p>
    <w:p>
      <w:pPr>
        <w:spacing w:line="580" w:lineRule="exact"/>
        <w:ind w:firstLine="640"/>
        <w:jc w:val="both"/>
      </w:pPr>
      <w:r>
        <w:rPr>
          <w:rFonts w:ascii="仿宋_GB2312" w:hAnsi="仿宋_GB2312" w:eastAsia="仿宋_GB2312"/>
          <w:b w:val="0"/>
          <w:sz w:val="32"/>
        </w:rPr>
        <w:t>3.卫生健康支出(类)20.13万元,占4.20%。</w:t>
      </w:r>
    </w:p>
    <w:p>
      <w:pPr>
        <w:spacing w:line="580" w:lineRule="exact"/>
        <w:ind w:firstLine="640"/>
        <w:jc w:val="both"/>
      </w:pPr>
      <w:r>
        <w:rPr>
          <w:rFonts w:ascii="仿宋_GB2312" w:hAnsi="仿宋_GB2312" w:eastAsia="仿宋_GB2312"/>
          <w:b w:val="0"/>
          <w:sz w:val="32"/>
        </w:rPr>
        <w:t>4.住房保障支出(类)30.93万元,占6.46%。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1.教育支出(类)普通教育(款)学前教育(项):支出决算数为103.28万元，比上年决算增加18.65万元，增长22.04%,主要原因是：本年增加2021-2023年学前保教费县配套资金。</w:t>
      </w:r>
    </w:p>
    <w:p>
      <w:pPr>
        <w:spacing w:line="580" w:lineRule="exact"/>
        <w:ind w:firstLine="640"/>
        <w:jc w:val="both"/>
      </w:pPr>
      <w:r>
        <w:rPr>
          <w:rFonts w:ascii="仿宋_GB2312" w:hAnsi="仿宋_GB2312" w:eastAsia="仿宋_GB2312"/>
          <w:b w:val="0"/>
          <w:sz w:val="32"/>
        </w:rPr>
        <w:t>2.教育支出(类)普通教育(款)小学教育(项):支出决算数为284.20万元，比上年决算增加15.52万元，增长5.78%,主要原因是：本年在职人员增加，在职人员工资调增，人员经费增加；年中追加绩效奖励金，考核工资及职称工资。</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3.社会保障和就业支出(类)行政事业单位养老支出(款)事业单位离退休(项):支出决算数为3.96万元，比上年决算增加1.26万元，增长46.67%,主要原因是：本年增加退休人员基础绩效奖，退休费支出增加。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36.59万元，比上年决算增加2.19万元，增长6.37%,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20.13万元，比上年决算增加4.94万元，增长32.52%,主要原因是：本年在职人员工资基数调增，医疗缴费基数上涨，相应支出增加；本年在职人员增加，事业单位医疗支出较上年增加。</w:t>
      </w:r>
    </w:p>
    <w:p>
      <w:pPr>
        <w:spacing w:line="580" w:lineRule="exact"/>
        <w:ind w:firstLine="640"/>
        <w:jc w:val="both"/>
      </w:pPr>
      <w:r>
        <w:rPr>
          <w:rFonts w:ascii="仿宋_GB2312" w:hAnsi="仿宋_GB2312" w:eastAsia="仿宋_GB2312"/>
          <w:b w:val="0"/>
          <w:sz w:val="32"/>
        </w:rPr>
        <w:t>6.住房保障支出(类)住房改革支出(款)住房公积金(项):支出决算数为30.93万元，比上年决算增加2.96万元，增长10.58%,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2024年度一般公共预算财政拨款基本支出479.09万元，其中：</w:t>
      </w:r>
      <w:r>
        <w:rPr>
          <w:rFonts w:ascii="仿宋_GB2312" w:hAnsi="仿宋_GB2312" w:eastAsia="仿宋_GB2312"/>
          <w:b/>
          <w:sz w:val="32"/>
        </w:rPr>
        <w:t>人员经费438.73万元，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包括：基本工资、津贴补贴、奖金、绩效工资、机关事业单位基本养老保险缴费、职工基本医疗保险缴费、其他社会保障缴费、住房公积金、其他工资福利支出、退休费、生活补助、助学金、奖励金。</w:t>
      </w:r>
    </w:p>
    <w:p>
      <w:pPr>
        <w:spacing w:line="580" w:lineRule="exact"/>
        <w:ind w:firstLine="640"/>
        <w:jc w:val="both"/>
      </w:pPr>
      <w:r>
        <w:rPr>
          <w:rFonts w:ascii="仿宋_GB2312" w:hAnsi="仿宋_GB2312" w:eastAsia="仿宋_GB2312"/>
          <w:b/>
          <w:sz w:val="32"/>
        </w:rPr>
        <w:t>公用经费40.35万元，</w:t>
      </w:r>
      <w:r>
        <w:rPr>
          <w:rFonts w:ascii="仿宋_GB2312" w:hAnsi="仿宋_GB2312" w:eastAsia="仿宋_GB2312"/>
          <w:b w:val="0"/>
          <w:sz w:val="32"/>
        </w:rPr>
        <w:t>包括：办公费、印刷费、水费、电费、邮电费、取暖费、物业管理费、差旅费、维修（护）费、培训费、专用材料费、劳务费、办公设备购置。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2024年度尼勒克县科蒙乡恰哈拉木小学（事业单位）公用经费支出40.35万元，比上年增加9.23万元，增长29.66%，主要原因是：本年增加2021-2023年学前保教费县配套资金，导致公用经费比上年增加。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3,504.99平方米，价值711.25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491.64万元，实际执行总额491.64万元；预算绩效评价项目1个，全年预算数12.56万元，全年执行数12.56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与科蒙乡中心小学结对，不定期到结对学校去听课学习或以“三个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教师中有一人普通话不达标，存在平翘舌不分、前后鼻音不分等发音问题；二是在新阶段下，教师的教学质量与家长不断增强的教育需求之间有差距，教师能力提升迫在眉睫；三是教师年龄日趋老龄化，学校没有新鲜血液注入，活力不强。下一步改进措施：一是教师中有一人普通话不达标，学校可以组织专门的普通话培训课程，帮助教师纠正发音、提高口语表达能力。同时，鼓励教师参加普通话水平测试，以检验培训效果。其次将普通话水平作为教师考核的一部分，对普通话水平不达标的教师进行督促和指导，对普通话水平提高显著的教师可以给予一定的奖励和表彰，以激励他们继续努力；二是在新阶段下，要提升教师的教学质量和满足家长不断增强的教育需求，可以从以下几个方面入手：（1）加强教师培训，学校应定期组织教师参加各种培训活动，如教学方法培训、学科知识更新培训等，以提升教师的专业水平。（2）鼓励教师自我提升，积极主动地参加各种学术交流活动，阅读教育教学相关书籍和期刊，不断更新教育理念和教学方法。（3）优化教学方法，教师应根据教学内容和学生的特点，采用多样化的教学方法，如讲授法、讨论法、案例分析法、实验法等，以激发学生的学习兴趣。（4）充分利用现代教育技术，如多媒体教学、在线教学等，丰富教学内容，提高教学效率。（5）强化课堂管理，教师应做好课前的准备工作，包括教学方法的选择和教材的选取。（6）加强家校联系，教师应主动与家长保持密切联系，及时反馈学生在校情况，听取家长意见，形成家校共育的合力。（7）学校可以定期召开家长会，组织家访活动，让家长更加了解学校的教学情况和孩子的学习状态。（8）与家长建立开放和互信的沟通渠道，鼓励家长提出问题和建议，共同探讨孩子的教育问题。通过定期的沟通和反馈，让家长更加了解学校的教育理念和教学计划，增强家长对学校的信任和支持；三是针对教师年龄老龄化、学校没有新鲜血液注入，活力不强的问题，可以从以下几个方面着手解决：首先加大对年轻教师的招聘力度，通过教育局协调等多种方式吸引年轻教师加入。其次设立“教学创新奖”、“优秀教师奖”等奖项，对在教学、科研等方面表现突出的教师进行表彰和奖励。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尼勒克县科蒙乡恰哈拉木小学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455.75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491.64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491.64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391.33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450.66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450.66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1.加强学生的爱国主义教育、民族团结、法制教育、“三进两联一交友”活动等，“一交友”活动计划开展10次以上；      2.开展丰富多彩的活动，让学生全面发展，2024年学校计划开展大型校园活动4次；       3.全面贯彻执行党和国家有关教育工作的方针、政策和法规，执行自治区的教育法规、实施办法和管理条例，计划开展教研、教学活动8次以上； 4.提高师生整体素质，做好教师的培训工作，每年开展不少于4次教师培训，推动学校可持续发展。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大型校园活动次数达到4次，开展教研、教学活动次数达到8次，开展教师培训次数达到4次，开展“三进两联一交友”活动次数达到10次。有效提高师生整体素质，推动学校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指标1：开展大型校园活动次数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指标4：开展“三进两联一交友”活动次数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“三进两联一交友”活动实施方案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2024年单位自有资金（其他资金）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尼勒克县科蒙乡恰哈拉木小学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尼勒克县科蒙乡恰哈拉木小学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课后托管服务人数达到17人，课后托管社团成果展示次数达到2次，托管服务学生人数达到160人，托管学生覆盖率达到91%，项目实际支出达到12.56万元，通过项目的实施，提高学生课余时间利用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&lt;=11.93万元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11.93万元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&lt;=0.63万元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