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尼勒克县科蒙乡吉仁台小学2024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（1）正确贯彻执行党和国家的教育方针、政策、法规。</w:t>
      </w:r>
    </w:p>
    <w:p>
      <w:pPr>
        <w:spacing w:line="580" w:lineRule="exact"/>
        <w:ind w:firstLine="640"/>
        <w:jc w:val="both"/>
      </w:pPr>
      <w:r>
        <w:rPr>
          <w:rFonts w:ascii="仿宋_GB2312" w:hAnsi="仿宋_GB2312" w:eastAsia="仿宋_GB2312"/>
          <w:sz w:val="32"/>
        </w:rPr>
        <w:t>（2）积极稳妥地推进教育改革，按教育规律办事，不断提高教育质量。</w:t>
      </w:r>
    </w:p>
    <w:p>
      <w:pPr>
        <w:spacing w:line="580" w:lineRule="exact"/>
        <w:ind w:firstLine="640"/>
        <w:jc w:val="both"/>
      </w:pPr>
      <w:r>
        <w:rPr>
          <w:rFonts w:ascii="仿宋_GB2312" w:hAnsi="仿宋_GB2312" w:eastAsia="仿宋_GB2312"/>
          <w:sz w:val="32"/>
        </w:rPr>
        <w:t>（3）坚持教书育人，服务育人，环境育人方针，加强对学生的思想品德教育，使学生的德智体全面发展。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尼勒克县科蒙乡吉仁台小学2024年度，实有人数80人，其中：在职人员46人，减少3人；离休人员0人，增加0人；退休人员34人,增加0人。</w:t>
      </w:r>
    </w:p>
    <w:p>
      <w:pPr>
        <w:spacing w:line="580" w:lineRule="exact"/>
        <w:ind w:firstLine="640"/>
        <w:jc w:val="both"/>
      </w:pPr>
      <w:r>
        <w:rPr>
          <w:rFonts w:ascii="仿宋_GB2312" w:hAnsi="仿宋_GB2312" w:eastAsia="仿宋_GB2312"/>
          <w:sz w:val="32"/>
        </w:rPr>
        <w:t>尼勒克县科蒙乡吉仁台小学无下属预算单位，下设5个科室，分别是：政教处、总务处、财务室、党建办、书记室。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2024年度收入总计1,008.49万元，</w:t>
      </w:r>
      <w:r>
        <w:rPr>
          <w:rFonts w:ascii="仿宋_GB2312" w:hAnsi="仿宋_GB2312" w:eastAsia="仿宋_GB2312"/>
          <w:b w:val="0"/>
          <w:sz w:val="32"/>
        </w:rPr>
        <w:t>其中：本年收入合计996.23万元，使用非财政拨款结余（含专用结余）0.00万元，年初结转和结余12.25万元。</w:t>
      </w:r>
    </w:p>
    <w:p>
      <w:pPr>
        <w:spacing w:line="580" w:lineRule="exact"/>
        <w:ind w:firstLine="640"/>
        <w:jc w:val="both"/>
      </w:pPr>
      <w:r>
        <w:rPr>
          <w:rFonts w:ascii="仿宋_GB2312" w:hAnsi="仿宋_GB2312" w:eastAsia="仿宋_GB2312"/>
          <w:b/>
          <w:sz w:val="32"/>
        </w:rPr>
        <w:t>2024年度支出总计1,008.49万元，</w:t>
      </w:r>
      <w:r>
        <w:rPr>
          <w:rFonts w:ascii="仿宋_GB2312" w:hAnsi="仿宋_GB2312" w:eastAsia="仿宋_GB2312"/>
          <w:b w:val="0"/>
          <w:sz w:val="32"/>
        </w:rPr>
        <w:t>其中：本年支出合计1,000.90万元，结余分配0.00万元，年末结转和结余7.59万元。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减少109.38万元，下降9.78%，主要原因是：本年在职人员减少，相关人员经费较上年减少。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本年收入996.23万元，</w:t>
      </w:r>
      <w:r>
        <w:rPr>
          <w:rFonts w:ascii="仿宋_GB2312" w:hAnsi="仿宋_GB2312" w:eastAsia="仿宋_GB2312"/>
          <w:b w:val="0"/>
          <w:sz w:val="32"/>
        </w:rPr>
        <w:t>其中：财政拨款收入979.69万元，占98.34%；上级补助收入0.00万元，占0.00%；事业收入0.00万元，占0.00%；经营收入0.00万元，占0.00%；附属单位上缴收入0.00万元，占0.00%；其他收入16.55万元，占1.66%。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本年支出1,000.90万元，</w:t>
      </w:r>
      <w:r>
        <w:rPr>
          <w:rFonts w:ascii="仿宋_GB2312" w:hAnsi="仿宋_GB2312" w:eastAsia="仿宋_GB2312"/>
          <w:b w:val="0"/>
          <w:sz w:val="32"/>
        </w:rPr>
        <w:t>其中：基本支出1,000.90万元，占100.00%；项目支出0.00万元，占0.00%；上缴上级支出0.00万元，占0.00%；经营支出0.00万元，占0.00%；对附属单位补助支出0.00万元，占0.00%。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2024年度财政拨款收入总计979.69万元，</w:t>
      </w:r>
      <w:r>
        <w:rPr>
          <w:rFonts w:ascii="仿宋_GB2312" w:hAnsi="仿宋_GB2312" w:eastAsia="仿宋_GB2312"/>
          <w:b w:val="0"/>
          <w:sz w:val="32"/>
        </w:rPr>
        <w:t>其中：年初财政拨款结转和结余0.00万元，本年财政拨款收入979.69万元。</w:t>
      </w:r>
      <w:r>
        <w:rPr>
          <w:rFonts w:ascii="仿宋_GB2312" w:hAnsi="仿宋_GB2312" w:eastAsia="仿宋_GB2312"/>
          <w:b/>
          <w:sz w:val="32"/>
        </w:rPr>
        <w:t>财政拨款支出总计979.69万元，</w:t>
      </w:r>
      <w:r>
        <w:rPr>
          <w:rFonts w:ascii="仿宋_GB2312" w:hAnsi="仿宋_GB2312" w:eastAsia="仿宋_GB2312"/>
          <w:b w:val="0"/>
          <w:sz w:val="32"/>
        </w:rPr>
        <w:t>其中：年末财政拨款结转和结余0.00万元，本年财政拨款支出979.69万元。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减少114.43万元，下降10.46%，主要原因是：本年在职人员减少，相关人员经费较上年减少。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年初预算数973.61万元，决算数979.69万元，预决算差异率0.62%，主要原因是：年中追加人员工资、社保、公积金基数调增部分资金，导致预决算存在差异。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2024年度一般公共预算财政拨款支出979.69万元，</w:t>
      </w:r>
      <w:r>
        <w:rPr>
          <w:rFonts w:ascii="仿宋_GB2312" w:hAnsi="仿宋_GB2312" w:eastAsia="仿宋_GB2312"/>
          <w:b w:val="0"/>
          <w:sz w:val="32"/>
        </w:rPr>
        <w:t>占本年支出合计的97.88%。</w:t>
      </w:r>
      <w:r>
        <w:rPr>
          <w:rFonts w:ascii="仿宋_GB2312" w:hAnsi="仿宋_GB2312" w:eastAsia="仿宋_GB2312"/>
          <w:b/>
          <w:sz w:val="32"/>
        </w:rPr>
        <w:t>与上年相比，</w:t>
      </w:r>
      <w:r>
        <w:rPr>
          <w:rFonts w:ascii="仿宋_GB2312" w:hAnsi="仿宋_GB2312" w:eastAsia="仿宋_GB2312"/>
          <w:b w:val="0"/>
          <w:sz w:val="32"/>
        </w:rPr>
        <w:t>减少114.43万元，下降10.46%，主要原因是：本年在职人员减少，相关人员经费较上年减少。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年初预算数973.61万元，决算数979.69万元，预决算差异率0.62%，主要原因是：年中追加人员工资、社保、公积金基数调增部分资金，导致预决算存在差异。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1.教育支出(类)762.54万元,占77.83%。</w:t>
      </w:r>
    </w:p>
    <w:p>
      <w:pPr>
        <w:spacing w:line="580" w:lineRule="exact"/>
        <w:ind w:firstLine="640"/>
        <w:jc w:val="both"/>
      </w:pPr>
      <w:r>
        <w:rPr>
          <w:rFonts w:ascii="仿宋_GB2312" w:hAnsi="仿宋_GB2312" w:eastAsia="仿宋_GB2312"/>
          <w:b w:val="0"/>
          <w:sz w:val="32"/>
        </w:rPr>
        <w:t>2.社会保障和就业支出(类)123.76万元,占12.63%。</w:t>
      </w:r>
    </w:p>
    <w:p>
      <w:pPr>
        <w:spacing w:line="580" w:lineRule="exact"/>
        <w:ind w:firstLine="640"/>
        <w:jc w:val="both"/>
      </w:pPr>
      <w:r>
        <w:rPr>
          <w:rFonts w:ascii="仿宋_GB2312" w:hAnsi="仿宋_GB2312" w:eastAsia="仿宋_GB2312"/>
          <w:b w:val="0"/>
          <w:sz w:val="32"/>
        </w:rPr>
        <w:t>3.卫生健康支出(类)27.94万元,占2.85%。</w:t>
      </w:r>
    </w:p>
    <w:p>
      <w:pPr>
        <w:spacing w:line="580" w:lineRule="exact"/>
        <w:ind w:firstLine="640"/>
        <w:jc w:val="both"/>
      </w:pPr>
      <w:r>
        <w:rPr>
          <w:rFonts w:ascii="仿宋_GB2312" w:hAnsi="仿宋_GB2312" w:eastAsia="仿宋_GB2312"/>
          <w:b w:val="0"/>
          <w:sz w:val="32"/>
        </w:rPr>
        <w:t>4.住房保障支出(类)65.45万元,占6.68%。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1.教育支出(类)普通教育(款)学前教育(项):支出决算数为188.43万元，比上年决算增加22.99万元，增长13.90%,主要原因是：本年增加2021-2023年学前保教费县配套资金。</w:t>
      </w:r>
    </w:p>
    <w:p>
      <w:pPr>
        <w:spacing w:line="580" w:lineRule="exact"/>
        <w:ind w:firstLine="640"/>
        <w:jc w:val="both"/>
      </w:pPr>
      <w:r>
        <w:rPr>
          <w:rFonts w:ascii="仿宋_GB2312" w:hAnsi="仿宋_GB2312" w:eastAsia="仿宋_GB2312"/>
          <w:b w:val="0"/>
          <w:sz w:val="32"/>
        </w:rPr>
        <w:t>2.教育支出(类)普通教育(款)小学教育(项):支出决算数为574.11万元，比上年决算减少94.12万元，下降14.08%,主要原因是：本年在职人员减少，相关人员经费较上年减少。</w:t>
      </w:r>
    </w:p>
    <w:p>
      <w:pPr>
        <w:spacing w:line="580" w:lineRule="exact"/>
        <w:ind w:firstLine="640"/>
        <w:jc w:val="both"/>
      </w:pPr>
      <w:r>
        <w:rPr>
          <w:rFonts w:ascii="仿宋_GB2312" w:hAnsi="仿宋_GB2312" w:eastAsia="仿宋_GB2312"/>
          <w:b w:val="0"/>
          <w:sz w:val="32"/>
        </w:rPr>
        <w:t>3.教育支出(类)普通教育(款)初中教育(项):支出决算数为0.00万元，比上年决算减少8.56万元，下降100.00%,主要原因是：本年功能科目调整，学校取暖费调整至主科目列支，相应支出减少。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4.社会保障和就业支出(类)行政事业单位养老支出(款)事业单位离退休(项):支出决算数为23.69万元，比上年决算增加7.28万元，增长44.36%,主要原因是：本年增加退休人员基础绩效奖，退休费支出增加。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83.88万元，比上年决算增加0.88万元，增长1.06%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10.18万元，比上年决算减少22.80万元，下降69.13%,主要原因是：本年新增调出人员较上年减少，职业年金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7.社会保障和就业支出(类)抚恤(款)死亡抚恤(项):支出决算数为6.01万元，比上年决算减少8.23万元，下降57.79%,主要原因是：本年新增死亡人员较上年减少，死亡抚恤支出较上年减少。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27.94万元，比上年决算减少9.61万元，下降25.59%,主要原因是：本年在职人员减少，事业单位医疗支出较上年减少；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9.住房保障支出(类)住房改革支出(款)住房公积金(项):支出决算数为65.45万元，比上年决算减少2.26万元，下降3.34%,主要原因是：本年在职人员减少，住房公积金缴费较上年减少。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2024年度一般公共预算财政拨款基本支出979.69万元，其中：</w:t>
      </w:r>
      <w:r>
        <w:rPr>
          <w:rFonts w:ascii="仿宋_GB2312" w:hAnsi="仿宋_GB2312" w:eastAsia="仿宋_GB2312"/>
          <w:b/>
          <w:sz w:val="32"/>
        </w:rPr>
        <w:t>人员经费919.80万元，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助学金、奖励金。</w:t>
      </w:r>
    </w:p>
    <w:p>
      <w:pPr>
        <w:spacing w:line="580" w:lineRule="exact"/>
        <w:ind w:firstLine="640"/>
        <w:jc w:val="both"/>
      </w:pPr>
      <w:r>
        <w:rPr>
          <w:rFonts w:ascii="仿宋_GB2312" w:hAnsi="仿宋_GB2312" w:eastAsia="仿宋_GB2312"/>
          <w:b/>
          <w:sz w:val="32"/>
        </w:rPr>
        <w:t>公用经费59.88万元，</w:t>
      </w:r>
      <w:r>
        <w:rPr>
          <w:rFonts w:ascii="仿宋_GB2312" w:hAnsi="仿宋_GB2312" w:eastAsia="仿宋_GB2312"/>
          <w:b w:val="0"/>
          <w:sz w:val="32"/>
        </w:rPr>
        <w:t>包括：办公费、印刷费、水费、电费、邮电费、取暖费、物业管理费、差旅费、维修（护）费、培训费、专用材料费、其他交通费用。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2024年度尼勒克县科蒙乡吉仁台小学（事业单位）公用经费支出59.88万元，比上年增加25.97万元，增长76.59%，主要原因是：本年增加2021-2023年学前保教费，导致公用经费比上年增加。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4,464.85平方米，价值544.61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1,000.89万元，实际执行总额1,000.89万元；预算绩效评价项目1个，全年预算数21.74万元，全年执行数21.21万元。预算绩效管理取得的成效：一是师资队伍建设工作​，经费落实与使用，专项经费足额投入，精准分配于教师培训与培养项目。经费合理利用，组织教师外出参加研讨交流会及专业培训课程等方面，确保每一分钱都用在刀刃上。​骨干教师培养成果，通过精心规划的培养方案，成功培育出 2 名学科骨干教师。这两位教师在学科教学领域展现出卓越的专业素养，不仅在本校的公开课、示范课中表现出色，还在区域内的教学竞赛中荣获佳绩，为学校赢得了荣誉，同时也成为其他教师学习的榜样，带动了整个学科教学水平的提升。​培训参与率达标，通过有效的组织与协调，成功确保教师参加各类培训参与率达到 100%。每位教师都获得了与自身专业发展需求相匹配的培训机会，涵盖了教学方法创新、课程设计优化、教育技术应用等多个维度。教师们在培训后将所学知识与技能积极应用于日常教学，显著提升了课堂教学的质量与效果。​二是校园文化活动丰富工作​，学生活动经费保障与使用，足额安排活动经费，确保校园文化活动的顺利开展。经费主要用于活动策划、场地布置、道具采购等方面，为活动的高质量呈现保障坚实的物质基础。​特色主题活动开展情况，成功开展了 3 次特色主题活动，包括校园文化艺术节、创意大赛和传统文化体验节。这些活动形式多样、内容丰富，涵盖了艺术、文化等领域，吸引了广大学生的积极参与。​学生参与度达标，通过广泛的宣传动员和精心的组织安排，学生参与度达到了 98%，远超预期目标。在活动中，学生们充分展示了自己的才艺和创造力，增强了团队合作精神和综合素质，同时也丰富了校园文化生活，营造了积极向上、充满活力的校园氛围。​三是校园安全管理强化工作​，安全宣传管理措施，加大安全宣传管理力度，通过多种渠道开展安全教育活动。班主任定期组织安全知识讲座，邀请专业人员为师生讲解消防安全、交通安全、食品安全等方面的知识；利用校园广播、宣传栏、校报等宣传阵地，广泛宣传安全知识和应急处置方法；开展安全演练活动，如火灾逃生演练、地震应急演练等，提高师生的应急逃生能力和自我保护意识。​工作成效显著，通过一系列安全宣传管理措施的实施，校园安全事故发生率显著降低，师生的安全意识得到了极大提高。在校园内形成了人人关注安全、人人参与安全管理的良好氛围，为学校的教育教学工作提供了安全稳定的环境保障。​。发现的问题及原因：一是校本培训教研：活动开展频率达到预期，但活动形式创新性不足，参与教师积极性未充分调动，教研成果转化为教学实践的效果不显著；二是教学质量管理：对成绩突出的师生表彰工作有序进行，但学困生辅导体系不够完善，辅导效果未达预期，学生整体成绩提升不明显；三是德育教育工作：德育活动形式多样，但在德育教育与学生日常生活融合、德育评价体系精准度方面有待加强。​。下一步改进措施：一是分层培训课程设计：依据教师现有的信息化基础，划分初级、中级和高级培训层次。初级课程面向几乎没有信息化教学经验的教师，重点教授基础的信息技术操作，如制作简单的 PPT、使用在线教学平台进行课程发布等。中级课程针对已有一定基础的教师，深入讲解如何利用信息化工具优化教学过程，像运用互动式教学软件开展课堂活动、利用数据分析软件了解学生学习情况等。高级课程则聚焦于前沿的教育技术应用，增强教学中的应用探索，培养教师创新教学的能力；​二是定期培训与专题讲座结合：定期组织常态化的信息化教学培训，保证每学期每位教师都有固定的培训时长。同时，鼓励教师之间、校际不定期分享最新的教育技术成果和实践案例，拓宽教师的视野，激发他们应用新技术的兴趣。​。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尼勒克县科蒙乡吉仁台小学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999.60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915.90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919.14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919.14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严格执行课程计划，规范课程名称，开齐开足课程。继续开展校本培训教研活动，围绕校本教研主要形式积极开展活动。加强教学质量管理，对于成绩突出的教师学和生给予表彰，做好学困生的辅导工作。加强学校安全、卫生工作。加强学生德育教育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在校学生人数达到257人，学前在校人数达到51人，开展校本教研、听评课次数达到8次，开展“三进两联一交友”次数达到15次。加强了教学质量管理，积极开展了各项活动，有效提升教学服务质量。</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指标1:在校学生人数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&gt;=256人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指标2：学前在校人数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指标3：开展校本教研、听评课次数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2024年吉仁台小学工作计划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2024年吉仁台小学工作计划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尼勒克县科蒙乡吉仁台小学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尼勒克县科蒙乡吉仁台小学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21.21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97.56%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1.通过课后托管，帮助孩子解决学习上的困难，减轻家长辅导作业的压力。有利于提高学生的学业成绩。</w:t>
              <w:br/>
              <w:t>2.通过课后托管的社团活动，培养学生的兴趣爱好，促进学生的身心发展。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托管社团成果展示达到2次，参与课后托管人数达到242人，贫困生补助人数达到15人，课后托管覆盖率达到94.5%，项目实际支出21.74万元，通过项目的实施，有效提高了学生课余时间利用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指标2：参与课后托管的学生数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指标3：贫困生补助人数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&lt;=17.94万元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17.42万元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&lt;=3.3579万元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无法准确预估参与托管人数和所缴托管费，捐赠。</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指标3：贫困生补助标准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300元/生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