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尼勒克县科蒙乡九年制中心学校2024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bookmarkStart w:id="0" w:name="_GoBack"/>
      <w:bookmarkEnd w:id="0"/>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（1）正确贯彻执行党和国家的教育方针、政策、法规。</w:t>
      </w:r>
    </w:p>
    <w:p>
      <w:pPr>
        <w:spacing w:line="580" w:lineRule="exact"/>
        <w:ind w:firstLine="640"/>
        <w:jc w:val="both"/>
      </w:pPr>
      <w:r>
        <w:rPr>
          <w:rFonts w:ascii="仿宋_GB2312" w:hAnsi="仿宋_GB2312" w:eastAsia="仿宋_GB2312"/>
          <w:sz w:val="32"/>
        </w:rPr>
        <w:t>（2）积极稳妥地推进教育改革，按教育规律办事，不断提高教育质量。</w:t>
      </w:r>
    </w:p>
    <w:p>
      <w:pPr>
        <w:spacing w:line="580" w:lineRule="exact"/>
        <w:ind w:firstLine="640"/>
        <w:jc w:val="both"/>
      </w:pPr>
      <w:r>
        <w:rPr>
          <w:rFonts w:ascii="仿宋_GB2312" w:hAnsi="仿宋_GB2312" w:eastAsia="仿宋_GB2312"/>
          <w:sz w:val="32"/>
        </w:rPr>
        <w:t>（3）坚持教书育人，服务育人，环境育人方针，加强对学生的思想品德教育，使学生的德智体全面发展。</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尼勒克县科蒙乡九年制中心学校2024年度，实有人数126人，其中：在职人员89人，减少6人；离休人员0人，增加0人；退休人员37人,减少2人。</w:t>
      </w:r>
    </w:p>
    <w:p>
      <w:pPr>
        <w:spacing w:line="580" w:lineRule="exact"/>
        <w:ind w:firstLine="640"/>
        <w:jc w:val="both"/>
      </w:pPr>
      <w:r>
        <w:rPr>
          <w:rFonts w:ascii="仿宋_GB2312" w:hAnsi="仿宋_GB2312" w:eastAsia="仿宋_GB2312"/>
          <w:sz w:val="32"/>
        </w:rPr>
        <w:t>尼勒克县科蒙乡九年制中心学校无下属预算单位，下设5个科室，分别是：政教处、总务处、财务室、党建办、档案室。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2024年度收入总计2,061.28万元，</w:t>
      </w:r>
      <w:r>
        <w:rPr>
          <w:rFonts w:ascii="仿宋_GB2312" w:hAnsi="仿宋_GB2312" w:eastAsia="仿宋_GB2312"/>
          <w:b w:val="0"/>
          <w:sz w:val="32"/>
        </w:rPr>
        <w:t>其中：本年收入合计2,059.74万元，使用非财政拨款结余（含专用结余）0.00万元，年初结转和结余1.54万元。</w:t>
      </w:r>
    </w:p>
    <w:p>
      <w:pPr>
        <w:spacing w:line="580" w:lineRule="exact"/>
        <w:ind w:firstLine="640"/>
        <w:jc w:val="both"/>
      </w:pPr>
      <w:r>
        <w:rPr>
          <w:rFonts w:ascii="仿宋_GB2312" w:hAnsi="仿宋_GB2312" w:eastAsia="仿宋_GB2312"/>
          <w:b/>
          <w:sz w:val="32"/>
        </w:rPr>
        <w:t>2024年度支出总计2,061.28万元，</w:t>
      </w:r>
      <w:r>
        <w:rPr>
          <w:rFonts w:ascii="仿宋_GB2312" w:hAnsi="仿宋_GB2312" w:eastAsia="仿宋_GB2312"/>
          <w:b w:val="0"/>
          <w:sz w:val="32"/>
        </w:rPr>
        <w:t>其中：本年支出合计2,046.50万元，结余分配0.00万元，年末结转和结余14.78万元。</w:t>
      </w:r>
    </w:p>
    <w:p>
      <w:pPr>
        <w:spacing w:line="580" w:lineRule="exact"/>
        <w:ind w:firstLine="640"/>
        <w:jc w:val="both"/>
      </w:pPr>
      <w:r>
        <w:rPr>
          <w:rFonts w:ascii="仿宋_GB2312" w:hAnsi="仿宋_GB2312" w:eastAsia="仿宋_GB2312"/>
          <w:b w:val="0"/>
          <w:sz w:val="32"/>
        </w:rPr>
        <w:t>收入支出总体与上年相比，</w:t>
      </w:r>
      <w:r>
        <w:rPr>
          <w:rFonts w:ascii="仿宋_GB2312" w:hAnsi="仿宋_GB2312" w:eastAsia="仿宋_GB2312"/>
          <w:b w:val="0"/>
          <w:sz w:val="32"/>
        </w:rPr>
        <w:t>减少11.88万元，下降0.57%，主要原因是：本年在职人员减少，相关人员经费较上年减少。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本年收入2,059.74万元，</w:t>
      </w:r>
      <w:r>
        <w:rPr>
          <w:rFonts w:ascii="仿宋_GB2312" w:hAnsi="仿宋_GB2312" w:eastAsia="仿宋_GB2312"/>
          <w:b w:val="0"/>
          <w:sz w:val="32"/>
        </w:rPr>
        <w:t>其中：财政拨款收入2,010.99万元，占97.63%；上级补助收入0.00万元，占0.00%；事业收入0.00万元，占0.00%；经营收入0.00万元，占0.00%；附属单位上缴收入0.00万元，占0.00%；其他收入48.75万元，占2.37%。</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本年支出2,046.50万元，</w:t>
      </w:r>
      <w:r>
        <w:rPr>
          <w:rFonts w:ascii="仿宋_GB2312" w:hAnsi="仿宋_GB2312" w:eastAsia="仿宋_GB2312"/>
          <w:b w:val="0"/>
          <w:sz w:val="32"/>
        </w:rPr>
        <w:t>其中：基本支出2,046.50万元，占100.00%；项目支出0.00万元，占0.00%；上缴上级支出0.00万元，占0.00%；经营支出0.00万元，占0.00%；对附属单位补助支出0.00万元，占0.00%。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2024年度财政拨款收入总计2,010.99万元，</w:t>
      </w:r>
      <w:r>
        <w:rPr>
          <w:rFonts w:ascii="仿宋_GB2312" w:hAnsi="仿宋_GB2312" w:eastAsia="仿宋_GB2312"/>
          <w:b w:val="0"/>
          <w:sz w:val="32"/>
        </w:rPr>
        <w:t>其中：年初财政拨款结转和结余0.00万元，本年财政拨款收入2,010.99万元。</w:t>
      </w:r>
      <w:r>
        <w:rPr>
          <w:rFonts w:ascii="仿宋_GB2312" w:hAnsi="仿宋_GB2312" w:eastAsia="仿宋_GB2312"/>
          <w:b/>
          <w:sz w:val="32"/>
        </w:rPr>
        <w:t>财政拨款支出总计2,010.99万元，</w:t>
      </w:r>
      <w:r>
        <w:rPr>
          <w:rFonts w:ascii="仿宋_GB2312" w:hAnsi="仿宋_GB2312" w:eastAsia="仿宋_GB2312"/>
          <w:b w:val="0"/>
          <w:sz w:val="32"/>
        </w:rPr>
        <w:t>其中：年末财政拨款结转和结余0.00万元，本年财政拨款支出2,010.99万元。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减少44.90万元，下降2.18%，主要原因是：本年在职人员减少，相关人员经费较上年减少。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年初预算数2,013.61万元，决算数2,010.99万元，预决算差异率-0.13%，主要原因是：本年在职人员减少，年中调减人员经费，导致预决算存在差异。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2024年度一般公共预算财政拨款支出2,010.16万元，</w:t>
      </w:r>
      <w:r>
        <w:rPr>
          <w:rFonts w:ascii="仿宋_GB2312" w:hAnsi="仿宋_GB2312" w:eastAsia="仿宋_GB2312"/>
          <w:b w:val="0"/>
          <w:sz w:val="32"/>
        </w:rPr>
        <w:t>占本年支出合计的98.22%。</w:t>
      </w:r>
      <w:r>
        <w:rPr>
          <w:rFonts w:ascii="仿宋_GB2312" w:hAnsi="仿宋_GB2312" w:eastAsia="仿宋_GB2312"/>
          <w:b/>
          <w:sz w:val="32"/>
        </w:rPr>
        <w:t>与上年相比，</w:t>
      </w:r>
      <w:r>
        <w:rPr>
          <w:rFonts w:ascii="仿宋_GB2312" w:hAnsi="仿宋_GB2312" w:eastAsia="仿宋_GB2312"/>
          <w:b w:val="0"/>
          <w:sz w:val="32"/>
        </w:rPr>
        <w:t>减少44.73万元，下降2.18%，主要原因是：本年在职人员减少，相关人员经费较上年减少。</w:t>
      </w:r>
      <w:r>
        <w:rPr>
          <w:rFonts w:ascii="仿宋_GB2312" w:hAnsi="仿宋_GB2312" w:eastAsia="仿宋_GB2312"/>
          <w:b/>
          <w:sz w:val="32"/>
        </w:rPr>
        <w:t>与年初预算相比,</w:t>
      </w:r>
      <w:r>
        <w:rPr>
          <w:rFonts w:ascii="仿宋_GB2312" w:hAnsi="仿宋_GB2312" w:eastAsia="仿宋_GB2312"/>
          <w:b w:val="0"/>
          <w:sz w:val="32"/>
        </w:rPr>
        <w:t>年初预算数2,010.61万元，决算数2,010.16万元，预决算差异率-0.02%，主要原因是：本年在职人员减少，年中调减人员经费，导致预决算存在差异。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1.教育支出(类)1,614.26万元,占80.31%。</w:t>
      </w:r>
    </w:p>
    <w:p>
      <w:pPr>
        <w:spacing w:line="580" w:lineRule="exact"/>
        <w:ind w:firstLine="640"/>
        <w:jc w:val="both"/>
      </w:pPr>
      <w:r>
        <w:rPr>
          <w:rFonts w:ascii="仿宋_GB2312" w:hAnsi="仿宋_GB2312" w:eastAsia="仿宋_GB2312"/>
          <w:b w:val="0"/>
          <w:sz w:val="32"/>
        </w:rPr>
        <w:t>2.社会保障和就业支出(类)203.77万元,占10.14%。</w:t>
      </w:r>
    </w:p>
    <w:p>
      <w:pPr>
        <w:spacing w:line="580" w:lineRule="exact"/>
        <w:ind w:firstLine="640"/>
        <w:jc w:val="both"/>
      </w:pPr>
      <w:r>
        <w:rPr>
          <w:rFonts w:ascii="仿宋_GB2312" w:hAnsi="仿宋_GB2312" w:eastAsia="仿宋_GB2312"/>
          <w:b w:val="0"/>
          <w:sz w:val="32"/>
        </w:rPr>
        <w:t>3.卫生健康支出(类)57.10万元,占2.84%。</w:t>
      </w:r>
    </w:p>
    <w:p>
      <w:pPr>
        <w:spacing w:line="580" w:lineRule="exact"/>
        <w:ind w:firstLine="640"/>
        <w:jc w:val="both"/>
      </w:pPr>
      <w:r>
        <w:rPr>
          <w:rFonts w:ascii="仿宋_GB2312" w:hAnsi="仿宋_GB2312" w:eastAsia="仿宋_GB2312"/>
          <w:b w:val="0"/>
          <w:sz w:val="32"/>
        </w:rPr>
        <w:t>4.住房保障支出(类)135.03万元,占6.72%。</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1.教育支出(类)普通教育(款)学前教育(项):支出决算数为88.58万元，比上年决算减少36.92万元，下降29.42%,主要原因是：本年幼儿园学生合并至尼勒克县科蒙乡中心小学，导致学前经费减少。</w:t>
      </w:r>
    </w:p>
    <w:p>
      <w:pPr>
        <w:spacing w:line="580" w:lineRule="exact"/>
        <w:ind w:firstLine="640"/>
        <w:jc w:val="both"/>
      </w:pPr>
      <w:r>
        <w:rPr>
          <w:rFonts w:ascii="仿宋_GB2312" w:hAnsi="仿宋_GB2312" w:eastAsia="仿宋_GB2312"/>
          <w:b w:val="0"/>
          <w:sz w:val="32"/>
        </w:rPr>
        <w:t>2.教育支出(类)普通教育(款)小学教育(项):支出决算数为286.25万元，比上年决算减少24.98万元，下降8.03%,主要原因是：本年在职人员减少，相关人员经费较上年减少。</w:t>
      </w:r>
    </w:p>
    <w:p>
      <w:pPr>
        <w:spacing w:line="580" w:lineRule="exact"/>
        <w:ind w:firstLine="640"/>
        <w:jc w:val="both"/>
      </w:pPr>
      <w:r>
        <w:rPr>
          <w:rFonts w:ascii="仿宋_GB2312" w:hAnsi="仿宋_GB2312" w:eastAsia="仿宋_GB2312"/>
          <w:b w:val="0"/>
          <w:sz w:val="32"/>
        </w:rPr>
        <w:t>3.教育支出(类)普通教育(款)初中教育(项):支出决算数为1,239.42万元，比上年决算增加27.74万元，增长2.29%,主要原因是：本年义务教育公用经费增加，寄宿生公用经费增加。</w:t>
      </w:r>
    </w:p>
    <w:p>
      <w:pPr>
        <w:spacing w:line="580" w:lineRule="exact"/>
        <w:ind w:firstLine="640"/>
        <w:jc w:val="both"/>
      </w:pPr>
      <w:r>
        <w:rPr>
          <w:rFonts w:ascii="仿宋_GB2312" w:hAnsi="仿宋_GB2312" w:eastAsia="仿宋_GB2312"/>
          <w:b w:val="0"/>
          <w:sz w:val="32"/>
        </w:rPr>
        <w:t>4.社会保障和就业支出(类)行政事业单位养老支出(款)事业单位离退休(项):支出决算数为26.56万元，比上年决算增加8.97万元，增长50.99%,主要原因是：本年增加退休人员基础绩效奖，退休费支出增加。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143.79万元，比上年决算增加5.46万元，增长3.95%,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12.63万元，比上年决算减少26.87万元，下降68.03%,主要原因是：本年新增退休人员、调出人员较上年减少，职业年金缴费较上年减少。</w:t>
      </w:r>
    </w:p>
    <w:p>
      <w:pPr>
        <w:spacing w:line="580" w:lineRule="exact"/>
        <w:ind w:firstLine="640"/>
        <w:jc w:val="both"/>
      </w:pPr>
      <w:r>
        <w:rPr>
          <w:rFonts w:ascii="仿宋_GB2312" w:hAnsi="仿宋_GB2312" w:eastAsia="仿宋_GB2312"/>
          <w:b w:val="0"/>
          <w:sz w:val="32"/>
        </w:rPr>
        <w:t>7.社会保障和就业支出(类)抚恤(款)死亡抚恤(项):支出决算数为20.78万元，比上年决算增加20.78万元，增长100.00%,主要原因是：本年新增死亡人员，死亡抚恤支出增加。</w:t>
      </w:r>
    </w:p>
    <w:p>
      <w:pPr>
        <w:spacing w:line="580" w:lineRule="exact"/>
        <w:ind w:firstLine="640"/>
        <w:jc w:val="both"/>
      </w:pPr>
      <w:r>
        <w:rPr>
          <w:rFonts w:ascii="仿宋_GB2312" w:hAnsi="仿宋_GB2312" w:eastAsia="仿宋_GB2312"/>
          <w:b w:val="0"/>
          <w:sz w:val="32"/>
        </w:rPr>
        <w:t>8.卫生健康支出(类)行政事业单位医疗(款)事业单位医疗(项):支出决算数为57.10万元，比上年决算减少17.96万元，下降23.93%,主要原因是：本年在职人员减少，事业单位医疗支出较上年减少；因退休人员医疗保险制度改革，退休人员基本医疗不再由单位缴纳，导致经费较上年减少。</w:t>
      </w:r>
    </w:p>
    <w:p>
      <w:pPr>
        <w:spacing w:line="580" w:lineRule="exact"/>
        <w:ind w:firstLine="640"/>
        <w:jc w:val="both"/>
      </w:pPr>
      <w:r>
        <w:rPr>
          <w:rFonts w:ascii="仿宋_GB2312" w:hAnsi="仿宋_GB2312" w:eastAsia="仿宋_GB2312"/>
          <w:b w:val="0"/>
          <w:sz w:val="32"/>
        </w:rPr>
        <w:t>9.住房保障支出(类)住房改革支出(款)住房公积金(项):支出决算数为135.03万元，比上年决算减少0.97万元，下降0.71%,主要原因是：本年在职人员减少，住房公积金缴费较上年减少。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2024年度一般公共预算财政拨款基本支出2,010.16万元，其中：</w:t>
      </w:r>
      <w:r>
        <w:rPr>
          <w:rFonts w:ascii="仿宋_GB2312" w:hAnsi="仿宋_GB2312" w:eastAsia="仿宋_GB2312"/>
          <w:b/>
          <w:sz w:val="32"/>
        </w:rPr>
        <w:t>人员经费1,906.10万元，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抚恤金、生活补助、助学金、奖励金。</w:t>
      </w:r>
    </w:p>
    <w:p>
      <w:pPr>
        <w:spacing w:line="580" w:lineRule="exact"/>
        <w:ind w:firstLine="640"/>
        <w:jc w:val="both"/>
      </w:pPr>
      <w:r>
        <w:rPr>
          <w:rFonts w:ascii="仿宋_GB2312" w:hAnsi="仿宋_GB2312" w:eastAsia="仿宋_GB2312"/>
          <w:b/>
          <w:sz w:val="32"/>
        </w:rPr>
        <w:t>公用经费104.06万元，</w:t>
      </w:r>
      <w:r>
        <w:rPr>
          <w:rFonts w:ascii="仿宋_GB2312" w:hAnsi="仿宋_GB2312" w:eastAsia="仿宋_GB2312"/>
          <w:b w:val="0"/>
          <w:sz w:val="32"/>
        </w:rPr>
        <w:t>包括：办公费、印刷费、水费、电费、邮电费、取暖费、物业管理费、维修（护）费、培训费、专用材料费、劳务费、其他交通费用、办公设备购置。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2024年度政府性基金预算财政拨款收入总计0.84万元，</w:t>
      </w:r>
      <w:r>
        <w:rPr>
          <w:rFonts w:ascii="仿宋_GB2312" w:hAnsi="仿宋_GB2312" w:eastAsia="仿宋_GB2312"/>
          <w:b w:val="0"/>
          <w:sz w:val="32"/>
        </w:rPr>
        <w:t>其中：年初结转和结余0.00万元，本年收入0.84万元。</w:t>
      </w:r>
      <w:r>
        <w:rPr>
          <w:rFonts w:ascii="仿宋_GB2312" w:hAnsi="仿宋_GB2312" w:eastAsia="仿宋_GB2312"/>
          <w:b/>
          <w:sz w:val="32"/>
        </w:rPr>
        <w:t>政府性基金预算财政拨款支出总计0.84万元，</w:t>
      </w:r>
      <w:r>
        <w:rPr>
          <w:rFonts w:ascii="仿宋_GB2312" w:hAnsi="仿宋_GB2312" w:eastAsia="仿宋_GB2312"/>
          <w:b w:val="0"/>
          <w:sz w:val="32"/>
        </w:rPr>
        <w:t>其中：年末结转和结余0.00万元，本年支出0.84万元。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减少0.16万元，下降16.00%，主要原因是：本年少年宫项目资金较上年减少。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年初预算数3.00万元，决算数0.84万元，预决算差异率-72.00%，主要原因是：厉行节约，减少不必要的开支。</w:t>
      </w:r>
    </w:p>
    <w:p>
      <w:pPr>
        <w:spacing w:line="580" w:lineRule="exact"/>
        <w:ind w:firstLine="640"/>
        <w:jc w:val="both"/>
      </w:pPr>
      <w:r>
        <w:rPr>
          <w:rFonts w:ascii="仿宋_GB2312" w:hAnsi="仿宋_GB2312" w:eastAsia="仿宋_GB2312"/>
          <w:b w:val="0"/>
          <w:sz w:val="32"/>
        </w:rPr>
        <w:t>政府性基金预算财政拨款支出0.84万元。</w:t>
      </w:r>
    </w:p>
    <w:p>
      <w:pPr>
        <w:spacing w:line="580" w:lineRule="exact"/>
        <w:ind w:firstLine="640"/>
        <w:jc w:val="both"/>
      </w:pPr>
      <w:r>
        <w:rPr>
          <w:rFonts w:ascii="仿宋_GB2312" w:hAnsi="仿宋_GB2312" w:eastAsia="仿宋_GB2312"/>
          <w:b w:val="0"/>
          <w:sz w:val="32"/>
        </w:rPr>
        <w:t>1.其他支出(类)彩票公益金安排的支出(款)用于教育事业的彩票公益金支出(项):支出决算数为0.84万元，比上年决算减少0.16万元，下降16.00%,主要原因是：厉行节约，减少不必要的开支。</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w:t>
      </w:r>
      <w:r>
        <w:rPr>
          <w:rFonts w:ascii="仿宋_GB2312" w:hAnsi="仿宋_GB2312" w:eastAsia="仿宋_GB2312"/>
          <w:b w:val="0"/>
          <w:sz w:val="32"/>
        </w:rPr>
        <w:t>其中：因公出国（境）费支出0.00万元，占0.00%，比上年增加0.00万元，增长0.00%，主要原因是：2023年与2024年均未安排因公出国（境）费支出。</w:t>
      </w:r>
      <w:r>
        <w:rPr>
          <w:rFonts w:ascii="仿宋_GB2312" w:hAnsi="仿宋_GB2312" w:eastAsia="仿宋_GB2312"/>
          <w:b w:val="0"/>
          <w:sz w:val="32"/>
        </w:rPr>
        <w:t>公务用车购置及运行维护费支出0.00万元，占0.00%，比上年增加0.00万元，增长0.00%，主要原因是：2023年与2024年均未安排公务用车购置及运行维护费支出。</w:t>
      </w:r>
      <w:r>
        <w:rPr>
          <w:rFonts w:ascii="仿宋_GB2312" w:hAnsi="仿宋_GB2312" w:eastAsia="仿宋_GB2312"/>
          <w:b w:val="0"/>
          <w:sz w:val="32"/>
        </w:rPr>
        <w:t>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2024年度尼勒克县科蒙乡九年制中心学校（事业单位）公用经费支出104.89万元，比上年增加4.55万元，增长4.53%，主要原因是：本年义务教育公用经费标准提高，导致公用经费支出增加。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17,639.07平方米，价值1,265.09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2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2,046.50万元，实际执行总额2,046.50万元；预算绩效评价项目1个，全年预算数35.59万元，全年执行数35.59万元。预算绩效管理取得的成效：一是始终坚持以习近平新时代中国特色社会主义思想为指导，落实立德树人根本任务，加强学生行为习惯养成教育，不断提高小学生思想道德素质和文明素养。通过重大节日、纪念日、传统节日等以多种形式深入开展理想信念教育、爱国主义教育、社会主义核心价值观教育、民族团结教育、中华优秀传统文化教育等，并扎实开展好青少年“筑基”工程与“中华优秀传统文化进校园进校园”等活动，不断增强师生“五个认同”，铸牢中华民族共同体意识。学校认真落实思政课制度，学校领导带头讲思政课带动学校思政教师不断提升教育教学能力，发挥好课程育人作用，并不断加强心理健康教育工作，强化班主任的班级管理能力，进一步提升校园文化建设，努力营造积极向上的校园文化氛围,提高学校德育工作的实效；二是广泛开展教研活动，促进教师课堂教学的改革，建立教师专业发展的教研机制。（1）规定每周星期二为教研活动日，分别进行课改通识培训，收看典型课例，交流课改经验等。（2）规定每两周，进行一次集体备课，互相探讨。（3）提升教师专业化水平，为教师搭建平台，与科蒙乡中心小学结对，不定期到结对学校去听课学习或以“三个课堂”送课，取长补短。（4）坚持校本培训，按校本培训计划开展校本培训，内容涉及课件制作、硬笔书法比赛、三笔字比赛、教学大比武、教案设计比赛等；三是建立健全各类预案，使各类安全有人管、有人负责。并组织各类演练，使师生熟悉各类危险的应急处置过程。确保了校园不发生安全事故。加强教育，促进自护。利用主题班会、队会、安全专题讲座强化对各类安全教育，放学前、周末、节假日进行“1530”安全教育。确保了学校安全稳定，一年来学校没有发生任何安全事故。发现的问题及原因：一是在新阶段下，教师的教学质量与家长不断增强的教育需求之间有差距，教师能力提升迫在眉睫；二是教师年龄日趋老龄化，学校没有新鲜血液注入，活力不强；三是预算编制工作有待细化，预算编制不够明确和精细，预算编制的合理性需要提高，预算执行力度还要进一步加强。下一步改进措施：一是在新阶段下，要提升教师的教学质量和满足家长不断增强的教育需求，可以从以下几个方面入手：（1）加强教师培训，学校应定期组织教师参加各种培训活动，如教学方法培训、学科知识更新培训等，以提升教师的专业水平。（2）鼓励教师自我提升，积极主动地参加各种学术交流活动，阅读教育教学相关书籍和期刊，不断更新教育理念和教学方法。（3）优化教学方法，教师应根据教学内容和学生的特点，采用多样化的教学方法，如讲授法、讨论法、案例分析法、实验法等，以激发学生的学习兴趣。（4）充分利用现代教育技术，如多媒体教学、在线教学等，丰富教学内容，提高教学效率。（5）强化课堂管理，教师应做好课前的准备工作，包括教学方法的选择和教材的选取。（6）加强家校联系，教师应主动与家长保持密切联系，及时反馈学生在校情况，听取家长意见，形成家校共育的合力。（7）学校可以定期召开家长会，组织家访活动，让家长更加了解学校的教学情况和孩子的学习状态。（8）与家长建立开放和互信的沟通渠道，鼓励家长提出问题和建议，共同探讨孩子的教育问题。通过定期的沟通和反馈，让家长更加了解学校的教育理念和教学计划，增强家长对学校的信任和支持。二是针对教师年龄老龄化、学校没有新鲜血液注入，活力不强的问题，可以从以下几个方面着手解决：首先加大对年轻教师的招聘力度，通过教育局协调等多种方式吸引年轻教师加入。其次设立“教学创新奖”、“优秀教师奖”等奖项，对在教学、科研等方面表现突出的教师进行表彰和奖励。三是加强培训，规范部门预算收支核算，制定和完善基本支出、项目支出等各项支出标准，严格按项目和进度执行预算，增强预算的约束力和严肃性。具体附整体支出绩效自评表，项目支出绩效自评表。</w:t>
      </w:r>
    </w:p>
    <w:p>
      <w:r>
        <w:br w:type="page"/>
      </w:r>
    </w:p>
    <w:tbl>
      <w:tblPr>
        <w:tblW w:type="auto" w:w="0"/>
        <w:tblLook w:firstColumn="1" w:firstRow="1" w:lastColumn="0" w:lastRow="0" w:noHBand="0" w:noVBand="1" w:val="04A0"/>
      </w:tblPr>
      <w:tblGrid>
        <w:gridCol w:w="1105"/>
        <w:gridCol w:w="1105"/>
        <w:gridCol w:w="1105"/>
        <w:gridCol w:w="1105"/>
        <w:gridCol w:w="1105"/>
        <w:gridCol w:w="1105"/>
        <w:gridCol w:w="1105"/>
        <w:gridCol w:w="1105"/>
      </w:tblGrid>
      <w:tr>
        <w:tc>
          <w:tcPr>
            <w:tcW w:type="dxa" w:w="8840"/>
            <w:gridSpan w:val="8"/>
            <w:vAlign w:val="center"/>
          </w:tcPr>
          <w:p>
            <w:pPr>
              <w:jc w:val="center"/>
            </w:pPr>
            <w:r>
              <w:rPr>
                <w:rFonts w:ascii="宋体" w:hAnsi="宋体" w:eastAsia="宋体"/>
                <w:sz w:val="24"/>
              </w:rPr>
              <w:t>单位整体支出绩效自评表</w:t>
            </w:r>
          </w:p>
        </w:tc>
      </w:tr>
      <w:tr>
        <w:tc>
          <w:tcPr>
            <w:tcW w:type="dxa" w:w="8840"/>
            <w:gridSpan w:val="8"/>
            <w:vAlign w:val="center"/>
          </w:tcPr>
          <w:p>
            <w:pPr>
              <w:jc w:val="center"/>
            </w:pPr>
            <w:r>
              <w:rPr>
                <w:rFonts w:ascii="宋体" w:hAnsi="宋体" w:eastAsia="宋体"/>
                <w:sz w:val="24"/>
              </w:rPr>
              <w:t>（2024年度）</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单位名称</w:t>
            </w:r>
          </w:p>
        </w:tc>
        <w:tc>
          <w:tcPr>
            <w:tcW w:type="dxa" w:w="7735"/>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尼勒克县科蒙乡九年制中心学校</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部门资金（万元）</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资金来源</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2,054.23</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2,046.50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2,046.50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上级资金：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180.61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208.92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208.92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本级资金：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1,811.62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1,802.07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1,802.07</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其他资金：</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62.00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35.51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35.51</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3315"/>
            <w:gridSpan w:val="3"/>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4420"/>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1105"/>
            <w:vMerge/>
            <w:tcBorders>
              <w:start w:sz="10" w:val="single"/>
              <w:top w:sz="10" w:val="single"/>
              <w:end w:sz="10" w:val="single"/>
              <w:bottom w:sz="10" w:val="single"/>
              <w:insideV w:sz="10" w:val="single"/>
            </w:tcBorders>
          </w:tcPr>
          <w:p/>
        </w:tc>
        <w:tc>
          <w:tcPr>
            <w:tcW w:type="dxa" w:w="3315"/>
            <w:gridSpan w:val="3"/>
            <w:tcBorders>
              <w:start w:sz="10" w:val="single"/>
              <w:top w:sz="10" w:val="single"/>
              <w:end w:sz="10" w:val="single"/>
              <w:bottom w:sz="10" w:val="single"/>
              <w:insideV w:sz="10" w:val="single"/>
            </w:tcBorders>
            <w:vAlign w:val="center"/>
          </w:tcPr>
          <w:p>
            <w:pPr>
              <w:jc w:val="both"/>
            </w:pPr>
            <w:r>
              <w:rPr>
                <w:rFonts w:ascii="宋体" w:hAnsi="宋体" w:eastAsia="宋体"/>
                <w:sz w:val="16"/>
              </w:rPr>
              <w:t>以党的二十大精神为指导。增强“四个意识”，坚定“四个自信”，做到“两个维护”，以加强教师队伍建设，强化学校常规管理，优化育人环境，改善办学条件，不断提升教学质量为目标。</w:t>
            </w:r>
          </w:p>
        </w:tc>
        <w:tc>
          <w:tcPr>
            <w:tcW w:type="dxa" w:w="4420"/>
            <w:gridSpan w:val="4"/>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开展教研活动，公开课次数达到10次，开展"三进两联一交友"活动次数达到2次，开展提升教师专业水平培训次数达到6次，开展学生德育主题教育活动次数达到8次。多方面加强学生的德育主题教育，因材施教、因地制宜，充分发挥课堂渗透，筑牢阵地意识。使学校工作正常开展，教育质量不断提高，学生得到全面发展。</w:t>
            </w:r>
          </w:p>
        </w:tc>
      </w:tr>
      <w:tr>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预期指标值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分值权重</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实际完成指标值</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履职效能</w:t>
            </w:r>
          </w:p>
        </w:tc>
        <w:tc>
          <w:tcPr>
            <w:tcW w:type="dxa" w:w="1105"/>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指标1：开展教研活动，公开课次数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&gt;=10次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学校教务工作计划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10次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指标2：开展"三进两联一交友"活动次数2</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学校德育工作计划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指标3：开展提升教师专业水平培训次数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&gt;=6次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学校教务工作计划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6次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r>
        <w:tc>
          <w:tcPr>
            <w:tcW w:type="dxa" w:w="1105"/>
            <w:vMerge/>
            <w:tcBorders>
              <w:start w:sz="10" w:val="single"/>
              <w:top w:sz="10" w:val="single"/>
              <w:end w:sz="10" w:val="single"/>
              <w:bottom w:sz="10" w:val="single"/>
              <w:insideV w:sz="10" w:val="single"/>
            </w:tcBorders>
          </w:tcPr>
          <w:p/>
        </w:tc>
        <w:tc>
          <w:tcPr>
            <w:tcW w:type="dxa" w:w="1105"/>
            <w:vMerge/>
            <w:tcBorders>
              <w:start w:sz="10" w:val="single"/>
              <w:top w:sz="10" w:val="single"/>
              <w:end w:sz="10" w:val="single"/>
              <w:bottom w:sz="10" w:val="single"/>
              <w:insideV w:sz="10" w:val="single"/>
            </w:tcBorders>
          </w:tcP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指标4：开展学生德育主题教育活动次数</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&gt;=8次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学校德育工作计划</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8次</w:t>
            </w:r>
          </w:p>
        </w:tc>
        <w:tc>
          <w:tcPr>
            <w:tcW w:type="dxa" w:w="1105"/>
            <w:tcBorders>
              <w:start w:sz="10" w:val="single"/>
              <w:top w:sz="10" w:val="single"/>
              <w:end w:sz="10" w:val="single"/>
              <w:bottom w:sz="10" w:val="single"/>
              <w:insideV w:sz="10" w:val="single"/>
            </w:tcBorders>
            <w:vAlign w:val="center"/>
          </w:tcPr>
          <w:p>
            <w:pPr>
              <w:jc w:val="center"/>
            </w:pPr>
            <w:r>
              <w:rPr>
                <w:rFonts w:ascii="宋体" w:hAnsi="宋体" w:eastAsia="宋体"/>
                <w:sz w:val="16"/>
              </w:rPr>
              <w:t>20</w:t>
            </w:r>
          </w:p>
        </w:tc>
      </w:tr>
    </w:tbl>
    <w:p>
      <w:r>
        <w:br w:type="page"/>
      </w:r>
    </w:p>
    <w:tbl>
      <w:tblPr>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tblGrid>
      <w:tr>
        <w:tc>
          <w:tcPr>
            <w:tcW w:type="dxa" w:w="8848"/>
            <w:gridSpan w:val="14"/>
            <w:vAlign w:val="center"/>
          </w:tcPr>
          <w:p>
            <w:pPr>
              <w:jc w:val="center"/>
            </w:pPr>
            <w:r>
              <w:rPr>
                <w:rFonts w:ascii="宋体" w:hAnsi="宋体" w:eastAsia="宋体"/>
                <w:sz w:val="24"/>
              </w:rPr>
              <w:t>项目支出绩效自评表</w:t>
            </w:r>
          </w:p>
        </w:tc>
      </w:tr>
      <w:tr>
        <w:tc>
          <w:tcPr>
            <w:tcW w:type="dxa" w:w="8848"/>
            <w:gridSpan w:val="14"/>
            <w:vAlign w:val="center"/>
          </w:tcPr>
          <w:p>
            <w:pPr>
              <w:jc w:val="center"/>
            </w:pPr>
            <w:r>
              <w:rPr>
                <w:rFonts w:ascii="宋体" w:hAnsi="宋体" w:eastAsia="宋体"/>
                <w:sz w:val="24"/>
              </w:rPr>
              <w:t>(2024年度)</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项目名称</w:t>
            </w:r>
          </w:p>
        </w:tc>
        <w:tc>
          <w:tcPr>
            <w:tcW w:type="dxa" w:w="8216"/>
            <w:gridSpan w:val="13"/>
            <w:tcBorders>
              <w:start w:sz="10" w:val="single"/>
              <w:top w:sz="10" w:val="single"/>
              <w:end w:sz="10" w:val="single"/>
              <w:bottom w:sz="10" w:val="single"/>
              <w:insideV w:sz="10" w:val="single"/>
            </w:tcBorders>
            <w:vAlign w:val="center"/>
          </w:tcPr>
          <w:p>
            <w:pPr>
              <w:jc w:val="center"/>
            </w:pPr>
            <w:r>
              <w:rPr>
                <w:rFonts w:ascii="宋体" w:hAnsi="宋体" w:eastAsia="宋体"/>
                <w:sz w:val="16"/>
              </w:rPr>
              <w:t>2024年单位自有资金</w:t>
            </w:r>
          </w:p>
        </w:tc>
      </w:tr>
      <w:tr>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主管部门</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尼勒克县科蒙乡九年制中心学校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实施单位</w:t>
            </w:r>
          </w:p>
        </w:tc>
        <w:tc>
          <w:tcPr>
            <w:tcW w:type="dxa" w:w="3160"/>
            <w:gridSpan w:val="5"/>
            <w:tcBorders>
              <w:start w:sz="10" w:val="single"/>
              <w:top w:sz="10" w:val="single"/>
              <w:end w:sz="10" w:val="single"/>
              <w:bottom w:sz="10" w:val="single"/>
              <w:insideV w:sz="10" w:val="single"/>
            </w:tcBorders>
            <w:vAlign w:val="center"/>
          </w:tcPr>
          <w:p>
            <w:pPr>
              <w:jc w:val="center"/>
            </w:pPr>
            <w:r>
              <w:rPr>
                <w:rFonts w:ascii="宋体" w:hAnsi="宋体" w:eastAsia="宋体"/>
                <w:sz w:val="16"/>
              </w:rPr>
              <w:t>尼勒克县科蒙乡九年制中心学校</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项目资金（万元）</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年初预算数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全年预算数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全年执行数</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分值</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执行率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年度资金总额</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35.59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35.59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35.59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100.00%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10.00</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其中：当年财政拨款</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tcBorders>
              <w:start w:sz="10" w:val="single"/>
              <w:top w:sz="10" w:val="single"/>
              <w:end w:sz="10" w:val="single"/>
              <w:bottom w:sz="10" w:val="single"/>
              <w:insideV w:sz="10" w:val="single"/>
            </w:tcBorders>
          </w:tcP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 xml:space="preserve">  其他资金</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35.59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35.59</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0.00</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1264"/>
            <w:gridSpan w:val="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年度总体目标</w:t>
            </w:r>
          </w:p>
        </w:tc>
        <w:tc>
          <w:tcPr>
            <w:tcW w:type="dxa" w:w="4424"/>
            <w:gridSpan w:val="7"/>
            <w:tcBorders>
              <w:start w:sz="10" w:val="single"/>
              <w:top w:sz="10" w:val="single"/>
              <w:end w:sz="10" w:val="single"/>
              <w:bottom w:sz="10" w:val="single"/>
              <w:insideV w:sz="10" w:val="single"/>
            </w:tcBorders>
            <w:vAlign w:val="center"/>
          </w:tcPr>
          <w:p>
            <w:pPr>
              <w:jc w:val="center"/>
            </w:pPr>
            <w:r>
              <w:rPr>
                <w:rFonts w:ascii="宋体" w:hAnsi="宋体" w:eastAsia="宋体"/>
                <w:sz w:val="16"/>
              </w:rPr>
              <w:t>预期目标</w:t>
            </w:r>
          </w:p>
        </w:tc>
        <w:tc>
          <w:tcPr>
            <w:tcW w:type="dxa" w:w="3792"/>
            <w:gridSpan w:val="6"/>
            <w:tcBorders>
              <w:start w:sz="10" w:val="single"/>
              <w:top w:sz="10" w:val="single"/>
              <w:end w:sz="10" w:val="single"/>
              <w:bottom w:sz="10" w:val="single"/>
              <w:insideV w:sz="10" w:val="single"/>
            </w:tcBorders>
            <w:vAlign w:val="center"/>
          </w:tcPr>
          <w:p>
            <w:pPr>
              <w:jc w:val="center"/>
            </w:pPr>
            <w:r>
              <w:rPr>
                <w:rFonts w:ascii="宋体" w:hAnsi="宋体" w:eastAsia="宋体"/>
                <w:sz w:val="16"/>
              </w:rPr>
              <w:t>实际完成情况</w:t>
            </w:r>
          </w:p>
        </w:tc>
      </w:tr>
      <w:tr>
        <w:tc>
          <w:tcPr>
            <w:tcW w:type="dxa" w:w="632"/>
            <w:vMerge/>
            <w:tcBorders>
              <w:start w:sz="10" w:val="single"/>
              <w:top w:sz="10" w:val="single"/>
              <w:end w:sz="10" w:val="single"/>
              <w:bottom w:sz="10" w:val="single"/>
              <w:insideV w:sz="10" w:val="single"/>
            </w:tcBorders>
          </w:tcPr>
          <w:p/>
        </w:tc>
        <w:tc>
          <w:tcPr>
            <w:tcW w:type="dxa" w:w="4424"/>
            <w:gridSpan w:val="7"/>
            <w:tcBorders>
              <w:start w:sz="10" w:val="single"/>
              <w:top w:sz="10" w:val="single"/>
              <w:end w:sz="10" w:val="single"/>
              <w:bottom w:sz="10" w:val="single"/>
              <w:insideV w:sz="10" w:val="single"/>
            </w:tcBorders>
            <w:vAlign w:val="center"/>
          </w:tcPr>
          <w:p>
            <w:pPr>
              <w:jc w:val="both"/>
            </w:pPr>
            <w:r>
              <w:rPr>
                <w:rFonts w:ascii="宋体" w:hAnsi="宋体" w:eastAsia="宋体"/>
                <w:sz w:val="16"/>
              </w:rPr>
              <w:t>保障学生正常托管，减轻家长看管负担，促进学生健康成长。支付教师陪餐费，提高教师工作积极性及幸福感。</w:t>
            </w:r>
          </w:p>
        </w:tc>
        <w:tc>
          <w:tcPr>
            <w:tcW w:type="dxa" w:w="3792"/>
            <w:gridSpan w:val="6"/>
            <w:tcBorders>
              <w:start w:sz="10" w:val="single"/>
              <w:top w:sz="10" w:val="single"/>
              <w:end w:sz="10" w:val="single"/>
              <w:bottom w:sz="10" w:val="single"/>
              <w:insideV w:sz="10" w:val="single"/>
            </w:tcBorders>
            <w:vAlign w:val="center"/>
          </w:tcPr>
          <w:p>
            <w:pPr>
              <w:jc w:val="both"/>
            </w:pPr>
            <w:r>
              <w:rPr>
                <w:rFonts w:ascii="宋体" w:hAnsi="宋体" w:eastAsia="宋体"/>
                <w:sz w:val="16"/>
              </w:rPr>
              <w:t>截至2024年12月底，本单位已完成课后托管服务人数56人，课后托管社团成果展示次数达到2次，托管服务学生人数达到639人，托管学生覆盖率达到100%，项目实际支付资金35.59万元，通过项目的实施，项目受益学生数达到750人。</w:t>
            </w:r>
          </w:p>
        </w:tc>
      </w:tr>
      <w:tr>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一级指标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二级指标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三级指标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权重</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目标值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业绩值</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完成率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得分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指标值设定依据</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上年完成情况</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赋分规则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佐证资料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偏差原因分析及改进措施</w:t>
            </w:r>
          </w:p>
        </w:tc>
      </w:tr>
      <w:tr>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年度绩效指标完成情况</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产出指标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数量指标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指标1：课后托管服务人数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&lt;=56人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56人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指标2：课后托管社团成果展示次数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2次</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指标3：托管服务学生人数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&gt;=445人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639人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质量指标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指标1：托管学生覆盖率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&gt;=90%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成本指标</w:t>
            </w:r>
          </w:p>
        </w:tc>
        <w:tc>
          <w:tcPr>
            <w:tcW w:type="dxa" w:w="632"/>
            <w:vMerge w:val="restart"/>
            <w:tcBorders>
              <w:start w:sz="10" w:val="single"/>
              <w:top w:sz="10" w:val="single"/>
              <w:end w:sz="10" w:val="single"/>
              <w:bottom w:sz="10" w:val="single"/>
              <w:insideV w:sz="10" w:val="single"/>
            </w:tcBorders>
            <w:vAlign w:val="center"/>
          </w:tcPr>
          <w:p>
            <w:pPr>
              <w:jc w:val="center"/>
            </w:pPr>
            <w:r>
              <w:rPr>
                <w:rFonts w:ascii="宋体" w:hAnsi="宋体" w:eastAsia="宋体"/>
                <w:sz w:val="16"/>
              </w:rPr>
              <w:t>经济成本指标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指标1：教师托管费发放</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&lt;=33.73万元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33.73万元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行业标准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工作资料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指标2：保障运转水电经费数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&gt;=1.86万元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1.86万元</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632"/>
            <w:vMerge/>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社会效益指标</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指标1：项目受益学生数</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&lt;=750人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750人</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30</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计划标准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无</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直接赋分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说明材料</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r>
          </w:p>
        </w:tc>
      </w:tr>
      <w:tr>
        <w:tc>
          <w:tcPr>
            <w:tcW w:type="dxa" w:w="2528"/>
            <w:gridSpan w:val="4"/>
            <w:tcBorders>
              <w:start w:sz="10" w:val="single"/>
              <w:top w:sz="10" w:val="single"/>
              <w:end w:sz="10" w:val="single"/>
              <w:bottom w:sz="10" w:val="single"/>
              <w:insideV w:sz="10" w:val="single"/>
            </w:tcBorders>
            <w:vAlign w:val="center"/>
          </w:tcPr>
          <w:p>
            <w:pPr>
              <w:jc w:val="center"/>
            </w:pPr>
            <w:r>
              <w:rPr>
                <w:rFonts w:ascii="宋体" w:hAnsi="宋体" w:eastAsia="宋体"/>
                <w:sz w:val="16"/>
              </w:rPr>
              <w:t>总分</w:t>
            </w: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vAlign w:val="center"/>
          </w:tcPr>
          <w:p>
            <w:pPr>
              <w:jc w:val="center"/>
            </w:pPr>
            <w:r>
              <w:rPr>
                <w:rFonts w:ascii="宋体" w:hAnsi="宋体" w:eastAsia="宋体"/>
                <w:sz w:val="16"/>
              </w:rPr>
              <w:t>100分</w:t>
            </w: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c>
          <w:tcPr>
            <w:tcW w:type="dxa" w:w="632"/>
            <w:tcBorders>
              <w:start w:sz="10" w:val="single"/>
              <w:top w:sz="10" w:val="single"/>
              <w:end w:sz="10" w:val="single"/>
              <w:bottom w:sz="10" w:val="single"/>
              <w:insideV w:sz="10" w:val="single"/>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本单位2024年度无政府采购支出，授予中小企业合同金额0.00万元。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0</TotalTime>
  <ScaleCrop>false</ScaleCrop>
  <LinksUpToDate>false</LinksUpToDate>
  <CharactersWithSpaces>547</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郭子歪</cp:lastModifiedBy>
  <cp:lastPrinted>2024-07-22T11:58:00Z</cp:lastPrinted>
  <dcterms:modified xsi:type="dcterms:W3CDTF">2025-08-08T11:56:24Z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