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尼勒克县科学技术协会2024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为深入实施创新驱动战略，贯彻落实自治区第十届三次全会精神，特别是自治区、自治州科技创新大会精神，以尼勒克县农业科技示范园区建设、科技特派员队伍建设、科普宣传、科技培训、科技项目、经济高质量发展为有利抓手，积极开展科技工作，不断创新工作方式，深入推动经济高质量发展。</w:t>
      </w:r>
    </w:p>
    <w:p>
      <w:pPr>
        <w:spacing w:line="580" w:lineRule="exact"/>
        <w:ind w:firstLine="640"/>
        <w:jc w:val="both"/>
      </w:pPr>
      <w:r>
        <w:rPr>
          <w:rFonts w:ascii="仿宋_GB2312" w:hAnsi="仿宋_GB2312" w:eastAsia="仿宋_GB2312"/>
          <w:sz w:val="32"/>
        </w:rPr>
        <w:t>1、加强组织领导，县乡村三级联动，营造浓厚的科普氛围。</w:t>
      </w:r>
    </w:p>
    <w:p>
      <w:pPr>
        <w:spacing w:line="580" w:lineRule="exact"/>
        <w:ind w:firstLine="640"/>
        <w:jc w:val="both"/>
      </w:pPr>
      <w:r>
        <w:rPr>
          <w:rFonts w:ascii="仿宋_GB2312" w:hAnsi="仿宋_GB2312" w:eastAsia="仿宋_GB2312"/>
          <w:sz w:val="32"/>
        </w:rPr>
        <w:t>2、抓好科技项目申报工作不断助力经济发展。</w:t>
      </w:r>
    </w:p>
    <w:p>
      <w:pPr>
        <w:spacing w:line="580" w:lineRule="exact"/>
        <w:ind w:firstLine="640"/>
        <w:jc w:val="both"/>
      </w:pPr>
      <w:r>
        <w:rPr>
          <w:rFonts w:ascii="仿宋_GB2312" w:hAnsi="仿宋_GB2312" w:eastAsia="仿宋_GB2312"/>
          <w:sz w:val="32"/>
        </w:rPr>
        <w:t>3、加强科技特派员管理。</w:t>
      </w:r>
    </w:p>
    <w:p>
      <w:pPr>
        <w:spacing w:line="580" w:lineRule="exact"/>
        <w:ind w:firstLine="640"/>
        <w:jc w:val="both"/>
      </w:pPr>
      <w:r>
        <w:rPr>
          <w:rFonts w:ascii="仿宋_GB2312" w:hAnsi="仿宋_GB2312" w:eastAsia="仿宋_GB2312"/>
          <w:sz w:val="32"/>
        </w:rPr>
        <w:t>4、不断强化企业创业创新主体地位。</w:t>
      </w:r>
    </w:p>
    <w:p>
      <w:pPr>
        <w:spacing w:line="580" w:lineRule="exact"/>
        <w:ind w:firstLine="640"/>
        <w:jc w:val="both"/>
      </w:pPr>
      <w:r>
        <w:rPr>
          <w:rFonts w:ascii="仿宋_GB2312" w:hAnsi="仿宋_GB2312" w:eastAsia="仿宋_GB2312"/>
          <w:sz w:val="32"/>
        </w:rPr>
        <w:t>5、进一步加强对国家和自治区农业科技园区指导工作。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尼勒克县科学技术协会2024年度，实有人数2人，其中：在职人员2人，减少1人；离休人员0人，增加0人；退休人员0人,增加0人。</w:t>
      </w:r>
    </w:p>
    <w:p>
      <w:pPr>
        <w:spacing w:line="580" w:lineRule="exact"/>
        <w:ind w:firstLine="640"/>
        <w:jc w:val="both"/>
      </w:pPr>
      <w:r>
        <w:rPr>
          <w:rFonts w:ascii="仿宋_GB2312" w:hAnsi="仿宋_GB2312" w:eastAsia="仿宋_GB2312"/>
          <w:sz w:val="32"/>
        </w:rPr>
        <w:t>尼勒克县科学技术协会无下属预算单位，下设1个科室，分别是：办公室。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2024年度收入总计45.23万元，</w:t>
      </w:r>
      <w:r>
        <w:rPr>
          <w:rFonts w:ascii="仿宋_GB2312" w:hAnsi="仿宋_GB2312" w:eastAsia="仿宋_GB2312"/>
          <w:b w:val="0"/>
          <w:sz w:val="32"/>
        </w:rPr>
        <w:t>其中：本年收入合计45.22万元，使用非财政拨款结余（含专用结余）0.00万元，年初结转和结余0.01万元。</w:t>
      </w:r>
    </w:p>
    <w:p>
      <w:pPr>
        <w:spacing w:line="580" w:lineRule="exact"/>
        <w:ind w:firstLine="640"/>
        <w:jc w:val="both"/>
      </w:pPr>
      <w:r>
        <w:rPr>
          <w:rFonts w:ascii="仿宋_GB2312" w:hAnsi="仿宋_GB2312" w:eastAsia="仿宋_GB2312"/>
          <w:b/>
          <w:sz w:val="32"/>
        </w:rPr>
        <w:t>2024年度支出总计45.23万元，</w:t>
      </w:r>
      <w:r>
        <w:rPr>
          <w:rFonts w:ascii="仿宋_GB2312" w:hAnsi="仿宋_GB2312" w:eastAsia="仿宋_GB2312"/>
          <w:b w:val="0"/>
          <w:sz w:val="32"/>
        </w:rPr>
        <w:t>其中：本年支出合计43.22万元，结余分配0.00万元，年末结转和结余2.01万元。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减少18.64万元，下降29.18%，主要原因是：本年在职人员减少1人，相关人员经费较上年减少。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本年收入45.22万元，</w:t>
      </w:r>
      <w:r>
        <w:rPr>
          <w:rFonts w:ascii="仿宋_GB2312" w:hAnsi="仿宋_GB2312" w:eastAsia="仿宋_GB2312"/>
          <w:b w:val="0"/>
          <w:sz w:val="32"/>
        </w:rPr>
        <w:t>其中：财政拨款收入40.72万元，占90.05%；上级补助收入0.00万元，占0.00%；事业收入0.00万元，占0.00%；经营收入0.00万元，占0.00%；附属单位上缴收入0.00万元，占0.00%；其他收入4.50万元，占9.95%。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本年支出43.22万元，</w:t>
      </w:r>
      <w:r>
        <w:rPr>
          <w:rFonts w:ascii="仿宋_GB2312" w:hAnsi="仿宋_GB2312" w:eastAsia="仿宋_GB2312"/>
          <w:b w:val="0"/>
          <w:sz w:val="32"/>
        </w:rPr>
        <w:t>其中：基本支出43.22万元，占100.00%；项目支出0.00万元，占0.00%；上缴上级支出0.00万元，占0.00%；经营支出0.00万元，占0.00%；对附属单位补助支出0.00万元，占0.00%。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2024年度财政拨款收入总计40.72万元，</w:t>
      </w:r>
      <w:r>
        <w:rPr>
          <w:rFonts w:ascii="仿宋_GB2312" w:hAnsi="仿宋_GB2312" w:eastAsia="仿宋_GB2312"/>
          <w:b w:val="0"/>
          <w:sz w:val="32"/>
        </w:rPr>
        <w:t>其中：年初财政拨款结转和结余0.00万元，本年财政拨款收入40.72万元。</w:t>
      </w:r>
      <w:r>
        <w:rPr>
          <w:rFonts w:ascii="仿宋_GB2312" w:hAnsi="仿宋_GB2312" w:eastAsia="仿宋_GB2312"/>
          <w:b/>
          <w:sz w:val="32"/>
        </w:rPr>
        <w:t>财政拨款支出总计40.72万元，</w:t>
      </w:r>
      <w:r>
        <w:rPr>
          <w:rFonts w:ascii="仿宋_GB2312" w:hAnsi="仿宋_GB2312" w:eastAsia="仿宋_GB2312"/>
          <w:b w:val="0"/>
          <w:sz w:val="32"/>
        </w:rPr>
        <w:t>其中：年末财政拨款结转和结余0.00万元，本年财政拨款支出40.72万元。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减少15.05万元，下降26.99%，主要原因是：本年在职人员减少1人，相关人员经费较上年减少。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年初预算数38.78万元，决算数40.72万元，预决算差异率5.00%，主要原因是：年中追加人员工资、社保、公积金基数调增部分资金，导致预决算存在差异。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2024年度一般公共预算财政拨款支出40.72万元，</w:t>
      </w:r>
      <w:r>
        <w:rPr>
          <w:rFonts w:ascii="仿宋_GB2312" w:hAnsi="仿宋_GB2312" w:eastAsia="仿宋_GB2312"/>
          <w:b w:val="0"/>
          <w:sz w:val="32"/>
        </w:rPr>
        <w:t>占本年支出合计的94.22%。</w:t>
      </w:r>
      <w:r>
        <w:rPr>
          <w:rFonts w:ascii="仿宋_GB2312" w:hAnsi="仿宋_GB2312" w:eastAsia="仿宋_GB2312"/>
          <w:b/>
          <w:sz w:val="32"/>
        </w:rPr>
        <w:t>与上年相比，</w:t>
      </w:r>
      <w:r>
        <w:rPr>
          <w:rFonts w:ascii="仿宋_GB2312" w:hAnsi="仿宋_GB2312" w:eastAsia="仿宋_GB2312"/>
          <w:b w:val="0"/>
          <w:sz w:val="32"/>
        </w:rPr>
        <w:t>减少15.05万元，下降26.99%，主要原因是：本年在职人员减少1人，相关人员经费较上年减少。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年初预算数38.78万元，决算数40.72万元，预决算差异率5.00%，主要原因是：年中追加人员工资、社保、公积金基数调增部分资金，导致预决算存在差异。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1.科学技术支出(类)32.77万元,占80.48%。</w:t>
      </w:r>
    </w:p>
    <w:p>
      <w:pPr>
        <w:spacing w:line="580" w:lineRule="exact"/>
        <w:ind w:firstLine="640"/>
        <w:jc w:val="both"/>
      </w:pPr>
      <w:r>
        <w:rPr>
          <w:rFonts w:ascii="仿宋_GB2312" w:hAnsi="仿宋_GB2312" w:eastAsia="仿宋_GB2312"/>
          <w:b w:val="0"/>
          <w:sz w:val="32"/>
        </w:rPr>
        <w:t>2.社会保障和就业支出(类)3.44万元,占8.45%。</w:t>
      </w:r>
    </w:p>
    <w:p>
      <w:pPr>
        <w:spacing w:line="580" w:lineRule="exact"/>
        <w:ind w:firstLine="640"/>
        <w:jc w:val="both"/>
      </w:pPr>
      <w:r>
        <w:rPr>
          <w:rFonts w:ascii="仿宋_GB2312" w:hAnsi="仿宋_GB2312" w:eastAsia="仿宋_GB2312"/>
          <w:b w:val="0"/>
          <w:sz w:val="32"/>
        </w:rPr>
        <w:t>3.卫生健康支出(类)1.80万元,占4.42%。</w:t>
      </w:r>
    </w:p>
    <w:p>
      <w:pPr>
        <w:spacing w:line="580" w:lineRule="exact"/>
        <w:ind w:firstLine="640"/>
        <w:jc w:val="both"/>
      </w:pPr>
      <w:r>
        <w:rPr>
          <w:rFonts w:ascii="仿宋_GB2312" w:hAnsi="仿宋_GB2312" w:eastAsia="仿宋_GB2312"/>
          <w:b w:val="0"/>
          <w:sz w:val="32"/>
        </w:rPr>
        <w:t>4.住房保障支出(类)2.70万元,占6.63%。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1.科学技术支出(类)科学技术管理事务(款)行政运行(项):支出决算数为24.77万元，比上年决算减少20.88万元，下降45.74%,主要原因是：本年在职人员减少1人，相关人员经费较上年减少。</w:t>
      </w:r>
    </w:p>
    <w:p>
      <w:pPr>
        <w:spacing w:line="580" w:lineRule="exact"/>
        <w:ind w:firstLine="640"/>
        <w:jc w:val="both"/>
      </w:pPr>
      <w:r>
        <w:rPr>
          <w:rFonts w:ascii="仿宋_GB2312" w:hAnsi="仿宋_GB2312" w:eastAsia="仿宋_GB2312"/>
          <w:b w:val="0"/>
          <w:sz w:val="32"/>
        </w:rPr>
        <w:t>2.科学技术支出(类)科学技术普及(款)科普活动(项):支出决算数为8.00万元，比上年决算增加8.00万元，增长100.00%,主要原因是：本年度新增科普活动资金。</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3.44万元，比上年决算减少0.13万元，下降3.64%,主要原因是：本年在职人员减少1人，相关养老保险缴费支出较上年减少。</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4.卫生健康支出(类)行政事业单位医疗(款)行政单位医疗(项):支出决算数为1.74万元，比上年决算减少1.17万元，下降40.21%,主要原因是：本年在职人员减少1人，相关医疗保险缴费较上年减少。</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0.06万元，比上年决算增加0.06万元，增长100.00%,主要原因是：本年功能科目调整，公务员医疗补助上年度在行政单位医疗科目列支，本年单独列支，导致经费较上年增加。</w:t>
      </w:r>
    </w:p>
    <w:p>
      <w:pPr>
        <w:spacing w:line="580" w:lineRule="exact"/>
        <w:ind w:firstLine="640"/>
        <w:jc w:val="both"/>
      </w:pPr>
      <w:r>
        <w:rPr>
          <w:rFonts w:ascii="仿宋_GB2312" w:hAnsi="仿宋_GB2312" w:eastAsia="仿宋_GB2312"/>
          <w:b w:val="0"/>
          <w:sz w:val="32"/>
        </w:rPr>
        <w:t>6.住房保障支出(类)住房改革支出(款)住房公积金(项):支出决算数为2.70万元，比上年决算减少0.94万元，下降25.82%,主要原因是：本年在职人员减少1人，相关住房公积金较上年减少。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2024年度一般公共预算财政拨款基本支出40.72万元，其中：</w:t>
      </w:r>
      <w:r>
        <w:rPr>
          <w:rFonts w:ascii="仿宋_GB2312" w:hAnsi="仿宋_GB2312" w:eastAsia="仿宋_GB2312"/>
          <w:b/>
          <w:sz w:val="32"/>
        </w:rPr>
        <w:t>人员经费32.72万元，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w:t>
      </w:r>
    </w:p>
    <w:p>
      <w:pPr>
        <w:spacing w:line="580" w:lineRule="exact"/>
        <w:ind w:firstLine="640"/>
        <w:jc w:val="both"/>
      </w:pPr>
      <w:r>
        <w:rPr>
          <w:rFonts w:ascii="仿宋_GB2312" w:hAnsi="仿宋_GB2312" w:eastAsia="仿宋_GB2312"/>
          <w:b/>
          <w:sz w:val="32"/>
        </w:rPr>
        <w:t>公用经费8.00万元，</w:t>
      </w:r>
      <w:r>
        <w:rPr>
          <w:rFonts w:ascii="仿宋_GB2312" w:hAnsi="仿宋_GB2312" w:eastAsia="仿宋_GB2312"/>
          <w:b w:val="0"/>
          <w:sz w:val="32"/>
        </w:rPr>
        <w:t>包括：办公费、印刷费、差旅费、其他交通费用。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比上年减少2.07万元，下降100.00%，主要原因是：严格落实中央八项规定精神，厉行节约，减少公务用车运行维护费。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公务用车购置及运行维护费支出0.00万元，占0.00%，比上年减少2.07万元，下降100.00%，主要原因是：严格落实中央八项规定精神，厉行节约，减少公务用车运行维护费。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2024年度尼勒克县科学技术协会（事业单位）公用经费支出8.00万元，比上年减少3.30万元，下降29.20%，主要原因是：严控经费支出，厉行节约，减少经费支出。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43.22万元，实际执行总额43.22万元；预算绩效评价项目2个，全年预算数10.50万元，全年执行数10.50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尼勒克县科学技术协会</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88.78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30.78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32.72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32.72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深入实施创新驱动战略，贯彻落实自治区、自治州科技创新大会精神，我县科普宣传、科技培训、经济高质量发展有利抓手，积极开展科技工作，不断创新工作方式，深入推动经济高质量发展。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底，本单位已完举办科技活动达到5次，开展科技网络安全教育活动接受教育人数达到42850人，开展“科技三下乡”志愿服务活动达到500册，参与科技网络安全教育活动参与率达到95%。贯彻党的治疆方略，加强农村科普工作，提高农牧民科学文化素质。</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举办科技活动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开展科技网络安全教育活动接受教育人数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&gt;=10000人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42850人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开展“科技三下乡”志愿服务活动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&gt;=500册</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500册</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参与科技网络安全教育活动参与率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历史标椎</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尼勒克县科学技术协会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尼勒克县科学技术协会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贯彻党的治疆方略，开展学术活动，促进科学发展和经济建设，通过基层科普工作，努力提高基层民众科学文化素质，统筹推进科普工作机制，使科普事业达到新的高度、踏上新征程。</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完成科普活动2次，改善老年科协工作环境1次，自作宣传资料数3500元，科普宣传活动参与人员数量30人，开展科技培训人员参与率95%，项目实际支出2.5万元，通过项目的实施，有效提升科技创新经济效果，活动参与人员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指标1：开展科普活动次数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指标2：改善老年科技协会工作环境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指标3：制作宣传材料资金数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&gt;=3500元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指标4：科普宣传活动参与人员数量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指标1：开展科技培训人员参与率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指标1：有效提升科技创新经济效果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指标1：活动参与人员满意度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科协2024年“基层科普行动计划”资金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尼勒克县科学技术协会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尼勒克县科学技术协会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落实自治区第十届三次全会精神，自治区、自治州科技创新大会精神，贯彻党的治疆方略，加强农村科普工作，提高农牧民科学文化素质。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该项目已完成奖补先进科普基地数量2个，补助科普示范学校数量达到1个，奖励科普带头人、优秀科技工作者达到12人，开展科普宣传发放科普数量36000份，科普大篷车的维修数量达到2辆，开展“科技之冬”线下、线上活动2次，项目实际支付8万元,通过项目的实施,有效的提高了基层科学素养，基层科普活动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指标1：奖补先进科普基地数量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指标2：补助科普示范学校数量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指标3：科普带头人、优秀科技工作者等人数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指标4：开展科普宣传编印发放科普资料数量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&gt;=50000份</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36000份</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截至2024年12月底，由于印刷费用上涨，导致印刷份数减少，故出现偏差。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指标5：科普大篷车维修数量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指标6:开展“科技之冬”线下、线上宣传活动次数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指标1：提高基层科学素养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指标1：基层科普活动满意度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97.2分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