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尼勒克县林业监测预警中心2024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（1）传播林业科技新技术，推广先进经验开展技术培训、技术服务，指导和组织各乡（镇）场发展林业生产。</w:t>
      </w:r>
    </w:p>
    <w:p>
      <w:pPr>
        <w:spacing w:line="580" w:lineRule="exact"/>
        <w:ind w:firstLine="640"/>
        <w:jc w:val="both"/>
      </w:pPr>
      <w:r>
        <w:rPr>
          <w:rFonts w:ascii="仿宋_GB2312" w:hAnsi="仿宋_GB2312" w:eastAsia="仿宋_GB2312"/>
          <w:sz w:val="32"/>
        </w:rPr>
        <w:t>（2）贯彻执行种苗法律、法规和政策方针，制定种苗生产计划和长远发展规划，依据《中华人民共和国种子管理条例》及“一签两证”管理办法，管理好本县的种苗市场种苗生产。</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尼勒克县林业监测预警中心2024年度，实有人数12人，其中：在职人员4人，减少1人；离休人员0人，增加0人；退休人员8人,增加1人。</w:t>
      </w:r>
    </w:p>
    <w:p>
      <w:pPr>
        <w:spacing w:line="580" w:lineRule="exact"/>
        <w:ind w:firstLine="640"/>
        <w:jc w:val="both"/>
      </w:pPr>
      <w:r>
        <w:rPr>
          <w:rFonts w:ascii="仿宋_GB2312" w:hAnsi="仿宋_GB2312" w:eastAsia="仿宋_GB2312"/>
          <w:sz w:val="32"/>
        </w:rPr>
        <w:t>尼勒克县林业监测预警中心无下属预算单位，下设2个科室，分别是：办公室、财务室。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2024年度收入总计523.98万元，</w:t>
      </w:r>
      <w:r>
        <w:rPr>
          <w:rFonts w:ascii="仿宋_GB2312" w:hAnsi="仿宋_GB2312" w:eastAsia="仿宋_GB2312"/>
          <w:b w:val="0"/>
          <w:sz w:val="32"/>
        </w:rPr>
        <w:t>其中：本年收入合计523.98万元，使用非财政拨款结余（含专用结余）0.00万元，年初结转和结余0.00万元。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2024年度支出总计523.98万元，</w:t>
      </w:r>
      <w:r>
        <w:rPr>
          <w:rFonts w:ascii="仿宋_GB2312" w:hAnsi="仿宋_GB2312" w:eastAsia="仿宋_GB2312"/>
          <w:b w:val="0"/>
          <w:sz w:val="32"/>
        </w:rPr>
        <w:t>其中：本年支出合计523.98万元，结余分配0.00万元，年末结转和结余0.00万元。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减少216.90万元，下降29.28%，主要原因是：本年生态护林员补助等项目资金较上年减少，本年在职人员减少，相关人员经费较上年减少。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本年收入523.98万元，</w:t>
      </w:r>
      <w:r>
        <w:rPr>
          <w:rFonts w:ascii="仿宋_GB2312" w:hAnsi="仿宋_GB2312" w:eastAsia="仿宋_GB2312"/>
          <w:b w:val="0"/>
          <w:sz w:val="32"/>
        </w:rPr>
        <w:t>其中：财政拨款收入523.98万元，占100.00%；上级补助收入0.00万元，占0.00%；事业收入0.00万元，占0.00%；经营收入0.00万元，占0.00%；附属单位上缴收入0.00万元，占0.00%；其他收入0.00万元，占0.00%。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本年支出523.98万元，</w:t>
      </w:r>
      <w:r>
        <w:rPr>
          <w:rFonts w:ascii="仿宋_GB2312" w:hAnsi="仿宋_GB2312" w:eastAsia="仿宋_GB2312"/>
          <w:b w:val="0"/>
          <w:sz w:val="32"/>
        </w:rPr>
        <w:t>其中：基本支出74.98万元，占14.31%；项目支出449.00万元，占85.69%；上缴上级支出0.00万元，占0.00%；经营支出0.00万元，占0.00%；对附属单位补助支出0.00万元，占0.00%。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2024年度财政拨款收入总计523.98万元，</w:t>
      </w:r>
      <w:r>
        <w:rPr>
          <w:rFonts w:ascii="仿宋_GB2312" w:hAnsi="仿宋_GB2312" w:eastAsia="仿宋_GB2312"/>
          <w:b w:val="0"/>
          <w:sz w:val="32"/>
        </w:rPr>
        <w:t>其中：年初财政拨款结转和结余0.00万元，本年财政拨款收入523.98万元。</w:t>
      </w:r>
      <w:r>
        <w:rPr>
          <w:rFonts w:ascii="仿宋_GB2312" w:hAnsi="仿宋_GB2312" w:eastAsia="仿宋_GB2312"/>
          <w:b/>
          <w:sz w:val="32"/>
        </w:rPr>
        <w:t>财政拨款支出总计523.98万元，</w:t>
      </w:r>
      <w:r>
        <w:rPr>
          <w:rFonts w:ascii="仿宋_GB2312" w:hAnsi="仿宋_GB2312" w:eastAsia="仿宋_GB2312"/>
          <w:b w:val="0"/>
          <w:sz w:val="32"/>
        </w:rPr>
        <w:t>其中：年末财政拨款结转和结余0.00万元，本年财政拨款支出523.98万元。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减少216.90万元，下降29.28%，主要原因是：本年生态护林员补助等项目资金较上年减少，本年在职人员减少，相关人员经费较上年减少。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年初预算数395.07万元，决算数523.98万元，预决算差异率32.63%，主要原因是：年中追加生态护林员补助项目，导致预决算存在差异。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2024年度一般公共预算财政拨款支出523.98万元，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减少216.90万元，下降29.28%，主要原因是：本年生态护林员补助等项目资金较上年减少，本年在职人员减少，相关人员经费较上年减少。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年初预算数395.07万元，决算数523.98万元，预决算差异率32.63%，主要原因是：年中追加生态护林员补助项目，导致预决算存在差异。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1.社会保障和就业支出(类)17.88万元,占3.41%。</w:t>
      </w:r>
    </w:p>
    <w:p>
      <w:pPr>
        <w:spacing w:line="580" w:lineRule="exact"/>
        <w:ind w:firstLine="640"/>
        <w:jc w:val="both"/>
      </w:pPr>
      <w:r>
        <w:rPr>
          <w:rFonts w:ascii="仿宋_GB2312" w:hAnsi="仿宋_GB2312" w:eastAsia="仿宋_GB2312"/>
          <w:b w:val="0"/>
          <w:sz w:val="32"/>
        </w:rPr>
        <w:t>2.卫生健康支出(类)3.41万元,占0.65%。</w:t>
      </w:r>
    </w:p>
    <w:p>
      <w:pPr>
        <w:spacing w:line="580" w:lineRule="exact"/>
        <w:ind w:firstLine="640"/>
        <w:jc w:val="both"/>
      </w:pPr>
      <w:r>
        <w:rPr>
          <w:rFonts w:ascii="仿宋_GB2312" w:hAnsi="仿宋_GB2312" w:eastAsia="仿宋_GB2312"/>
          <w:b w:val="0"/>
          <w:sz w:val="32"/>
        </w:rPr>
        <w:t>3.节能环保支出(类)449.00万元,占85.69%。</w:t>
      </w:r>
    </w:p>
    <w:p>
      <w:pPr>
        <w:spacing w:line="580" w:lineRule="exact"/>
        <w:ind w:firstLine="640"/>
        <w:jc w:val="both"/>
      </w:pPr>
      <w:r>
        <w:rPr>
          <w:rFonts w:ascii="仿宋_GB2312" w:hAnsi="仿宋_GB2312" w:eastAsia="仿宋_GB2312"/>
          <w:b w:val="0"/>
          <w:sz w:val="32"/>
        </w:rPr>
        <w:t>4.农林水支出(类)48.46万元,占9.25%。</w:t>
      </w:r>
    </w:p>
    <w:p>
      <w:pPr>
        <w:spacing w:line="580" w:lineRule="exact"/>
        <w:ind w:firstLine="640"/>
        <w:jc w:val="both"/>
      </w:pPr>
      <w:r>
        <w:rPr>
          <w:rFonts w:ascii="仿宋_GB2312" w:hAnsi="仿宋_GB2312" w:eastAsia="仿宋_GB2312"/>
          <w:b w:val="0"/>
          <w:sz w:val="32"/>
        </w:rPr>
        <w:t>5.住房保障支出(类)5.23万元,占1.00%。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1.社会保障和就业支出(类)行政事业单位养老支出(款)行政单位离退休(项):支出决算数为5.57万元，比上年决算增加1.62万元，增长41.01%,主要原因是：本年增加退休人员基础绩效奖，退休费支出增加。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6.58万元，比上年决算减少0.88万元，下降11.80%,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3.社会保障和就业支出(类)行政事业单位养老支出(款)机关事业单位职业年金缴费支出(项):支出决算数为5.73万元，比上年决算增加5.73万元，增长100.00%,主要原因是：本年新增退休人员，职业年金缴费支出增加。</w:t>
      </w:r>
    </w:p>
    <w:p>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4.社会保障和就业支出(类)抚恤(款)死亡抚恤(项):支出决算数为0.00万元，比上年决算减少5.73万元，下降100.00%,主要原因是：本年无新增死亡人员，死亡抚恤支出较上年减少。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5.卫生健康支出(类)行政事业单位医疗(款)行政单位医疗(项):支出决算数为2.49万元，比上年决算减少0.42万元，下降14.43%,主要原因是：本年在职人员减少，行政单位医疗支出较上年减少。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6.卫生健康支出(类)行政事业单位医疗(款)事业单位医疗(项):支出决算数为0.85万元，比上年决算增加0.19万元，增长28.79%,主要原因是：本年在职人员工资基数调增，医疗缴费基数上涨，相应支出增加。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7.卫生健康支出(类)行政事业单位医疗(款)公务员医疗补助(项):支出决算数为0.07万元，比上年决算增加0.00万元，增长0.00%,主要原因是：公务员医疗补助与上年一致无变化。</w:t>
      </w:r>
    </w:p>
    <w:p>
      <w:pPr>
        <w:spacing w:line="580" w:lineRule="exact"/>
        <w:ind w:firstLine="640"/>
        <w:jc w:val="both"/>
      </w:pPr>
      <w:r>
        <w:rPr>
          <w:rFonts w:ascii="仿宋_GB2312" w:hAnsi="仿宋_GB2312" w:eastAsia="仿宋_GB2312"/>
          <w:b w:val="0"/>
          <w:sz w:val="32"/>
        </w:rPr>
        <w:t>8.节能环保支出(类)自然生态保护(款)生态保护(项):支出决算数为449.00万元，比上年决算减少205.90万元，下降31.44%,主要原因是：本年生态护林员补助等项目资金较上年减少。</w:t>
      </w:r>
    </w:p>
    <w:p>
      <w:pPr>
        <w:spacing w:line="580" w:lineRule="exact"/>
        <w:ind w:firstLine="640"/>
        <w:jc w:val="both"/>
      </w:pPr>
      <w:r>
        <w:rPr>
          <w:rFonts w:ascii="仿宋_GB2312" w:hAnsi="仿宋_GB2312" w:eastAsia="仿宋_GB2312"/>
          <w:b w:val="0"/>
          <w:sz w:val="32"/>
        </w:rPr>
        <w:t>9.农林水支出(类)林业和草原(款)行政运行(项):支出决算数为48.46万元，比上年决算减少10.74万元，下降18.14%,主要原因是：本年在职人员减少，相应人员经费较上年减少。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10.住房保障支出(类)住房改革支出(款)住房公积金(项):支出决算数为5.23万元，比上年决算减少0.76万元，下降12.69%,主要原因是：本年在职人员减少，住房公积金缴费较上年减少。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2024年度一般公共预算财政拨款基本支出74.98万元，其中：</w:t>
      </w:r>
      <w:r>
        <w:rPr>
          <w:rFonts w:ascii="仿宋_GB2312" w:hAnsi="仿宋_GB2312" w:eastAsia="仿宋_GB2312"/>
          <w:b/>
          <w:sz w:val="32"/>
        </w:rPr>
        <w:t>人员经费74.30万元，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包括：基本工资、津贴补贴、奖金、机关事业单位基本养老保险缴费、职业年金缴费、职工基本医疗保险缴费、公务员医疗补助缴费、其他社会保障缴费、住房公积金、退休费、奖励金。</w:t>
      </w:r>
    </w:p>
    <w:p>
      <w:pPr>
        <w:spacing w:line="580" w:lineRule="exact"/>
        <w:ind w:firstLine="640"/>
        <w:jc w:val="both"/>
      </w:pPr>
      <w:r>
        <w:rPr>
          <w:rFonts w:ascii="仿宋_GB2312" w:hAnsi="仿宋_GB2312" w:eastAsia="仿宋_GB2312"/>
          <w:b/>
          <w:sz w:val="32"/>
        </w:rPr>
        <w:t>公用经费0.68万元，</w:t>
      </w:r>
      <w:r>
        <w:rPr>
          <w:rFonts w:ascii="仿宋_GB2312" w:hAnsi="仿宋_GB2312" w:eastAsia="仿宋_GB2312"/>
          <w:b w:val="0"/>
          <w:sz w:val="32"/>
        </w:rPr>
        <w:t>包括：办公费、手续费、水费、电费、邮电费。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车辆借用其他单位使用，车辆费用由使用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2024年度尼勒克县林业监测预警中心（行政单位和参照公务员法管理事业单位）机关运行经费支出0.68万元，比上年增加0.28万元，增长70.00%，主要原因是：本年业务量增加，公用经费增加。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24.08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523.98万元，实际执行总额523.98万元；预算绩效评价项目1个，全年预算数449.00万元，全年执行数449.00万元。预算绩效管理取得的成效：早做规划、落实苗木，为春季造林绿化工作打好准备仗。2024年新春伊始我中心就与林政资源股先行对接，下地考察规划造林地块和编制作业设计，为全年人工造林打下了坚实基础。在造林期深入村队地头，从造林整地、苗木检验、定植全程做好服务。截至目前完成退化林修复造林3158亩，植苗120000株，人工造林1100亩，植苗40000株。适龄人群参与义务植树92000人次，植苗180000株，未成林新造林补植2500亩，栽植苗木30000株。生态护林员工作逐步趋于规范，助力林草功效逐渐显现。针对各乡近几年生态护林员管理混乱、服务林草作用甚微的现状，我中心从2022年末的选聘续聘环节入手，全程跟踪指导，从第一道工序着手，亲自到乡镇、村队参与指导选聘续聘跟踪，并有针对性开展专题培训。借力总林长高位能量，从思想、组织上筑牢生态护林员管理工作主动性和自觉性，使护林员的业务水平显著提升。电话随访工作中针对部分乡镇林业站工作滞后现象，我中心工作人员主动作为，主动为其补齐缺项、完成缺位工作，有力促进了此项工作健康有序推进，4月份以来深化惠民惠农财政补贴资金发放管理问题专项治理，发现问题两条。及时兑现449名生态护林员补助，截至目前已完成全部生活补助，计449万元，按时兑现补助极大调动生态护林员工作积极性。科技培训强林，技术服务富民。2024年我站将科技推广和科技服务等科普工作作为突破口，努力让科技支撑成为林业增效农民增收的重要举措，重点做好以生态护林员为主体的涉林涉草群体培训，以林草实用技术、前沿技术和生态保护知识为重点开展了26场次集中培训，培训人次1600余人次。发现的问题及原因：一是项目细化管理工作不足。在项目建设中存在前期工作准备不充分，未建立项目台账，项目资料不完整，对项目的跟踪力度不够；二是预算绩效管理水平仍有欠缺。预算绩效管理工作中，对预算绩效管理的要求认识不到位，设置项目绩效目标、实施等环节与预算绩效管理各个环节联系不够紧密；三是受传统思维影响，单位财政资金管理理念还停留在“过程管理”阶段，对绩效的认识比较模糊，导致资金在源头上控制不严。虽然经过几年的绩效管理实践绩效理念初步形成，但由于预算绩效管理工作仍处于探索试点和完善阶段，对绩效管理工作认识不到位，项目细化管理工作不足，在编制绩效评价的过程中，存在被动应付的现象。下一步改进措施：一是完善管理制度,进一步加强项目管理。严格按照《项目专项资金管理办法》的规定，加强项目资金管理；二是加大宣传力度，强化绩效理念。预算绩效目标的设定有一定的难度，但对于预算职能部门专业人员来讲，绩效目标的填报并不是很困难，申报不及时、不到位的现象，反映的是对绩效观念淡薄和对绩效工作的消极，因此，加强预算绩效管理宣传，进一步提高各地、各部门对预算绩效管理重要性认识显得尤为重要。充分利用新闻媒体、政府网络平台，积极宣传“用钱必问效、问效必问责、问责效为先”的绩效管理理念；三是加强新行政单位会计制度和新预算法学习培训、规范账务处理，加强新《预算法》《政府会计制度》《会计法》及《行政单位财务规则》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尼勒克县林业监测预警中心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395.06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523.98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523.98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449.00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449.00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成全县449名生态护林员续聘工作，每人每年按1万元进行补助，生态护林员满意度达到100%，完成退化林修复造林2000亩，开展林业法律法规宣讲15场次，传播林业科技新技术，推广先进经验开展技术培训、技术服务，指导和组织各乡（镇）场发展林业生产，贯彻执行种苗法律、法规和政策方针，制定种苗生产计划和长远发展规划，依据《中华人民共和国种子管理条例》及“一签两证”管理办法，管理好本县的种苗市场种苗生产，开展全民义务植树造林活动，严格落实《尼勒克县生态护林员管理办法》开展生态护林员选聘、续聘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林业法律法规宣讲达到26场次，完成退化林修复造林达到3158亩，生态护林员补助达到449万元。传播了林业科技新技术，推广先进经验开展技术培训、技术服务，指导和组织各乡（镇）场发展林业生产，贯彻执行种苗法律、法规和政策方针，制定种苗生产计划和长远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指标1：开展林业法律法规宣讲</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指标2：完成退化林修复造林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&gt;=2000亩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3158亩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指标3：生态护林员补助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=449万元/年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伊州财建【2023】174号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449万元/年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2024年中央林业草原生态保护恢复资金（生态护林员补助）伊州财建[2023]174号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尼勒克县林业监测预警中心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尼勒克县林业监测预警中心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管护林草面积22.4万亩，完成全县449名生态护林员续聘工作，原则上每人每年按1万元进行补助，每年开展岗前培训，专业培训不少于2次，护林员补助当前兑现率不低于90%，通过选聘生态护林员将部分脱贫人口转为生态护林员，巩固脱贫攻坚成果，助力乡村振兴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单位实际完成聘用生态护林员人数达到449名，管护林草面积达到22.4万亩，年度开展岗前培训次数达到2次，森林管护覆盖率达到90%，完成选聘工作时限为30天，生态林员发人均补助标准为10000元/年，生态护林员补助资金449万元，通过项目的实施，生态林员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指标1:聘用生态护林员人数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指标2：管护林草面积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&gt;=22.4万亩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22.4万亩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22.4万亩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指标3：年度开展岗前培训次数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指标1：森林管护覆盖率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指标1：完成选聘工作时限（天）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指标1：生态护林员人均补助标准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指标1：生态护林员满意度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