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尼勒克县技工学校2024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1.开展中级、初级技工学历教育。</w:t>
      </w:r>
    </w:p>
    <w:p>
      <w:pPr>
        <w:spacing w:line="580" w:lineRule="exact"/>
        <w:ind w:firstLine="640"/>
        <w:jc w:val="both"/>
      </w:pPr>
      <w:r>
        <w:rPr>
          <w:rFonts w:ascii="仿宋_GB2312" w:hAnsi="仿宋_GB2312" w:eastAsia="仿宋_GB2312"/>
          <w:sz w:val="32"/>
        </w:rPr>
        <w:t>2.积极面向社会开展各类职业技能培训，成为劳动预备制培训、企业职工培训、农村转移就业劳动者培训和农村实用人才培训的重要基地。</w:t>
      </w:r>
    </w:p>
    <w:p>
      <w:pPr>
        <w:spacing w:line="580" w:lineRule="exact"/>
        <w:ind w:firstLine="640"/>
        <w:jc w:val="both"/>
      </w:pPr>
      <w:r>
        <w:rPr>
          <w:rFonts w:ascii="仿宋_GB2312" w:hAnsi="仿宋_GB2312" w:eastAsia="仿宋_GB2312"/>
          <w:sz w:val="32"/>
        </w:rPr>
        <w:t>3.积极创造条件，拓展多元招生渠道，在坚持面向城乡初高中毕业生、青年求职人员开展学制教育和劳动预备制培训的同时，积极扩展培训对象，面向企业在职职工、农村转移就业劳动者、失业人员、高中毕业生、退役士兵等群体，开展各类职业技能培训。</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尼勒克县技工学校2024年度，实有人数4人，其中：在职人员4人，增加1人；离休人员0人，增加0人；退休人员0人,增加0人。</w:t>
      </w:r>
    </w:p>
    <w:p>
      <w:pPr>
        <w:spacing w:line="580" w:lineRule="exact"/>
        <w:ind w:firstLine="640"/>
        <w:jc w:val="both"/>
      </w:pPr>
      <w:r>
        <w:rPr>
          <w:rFonts w:ascii="仿宋_GB2312" w:hAnsi="仿宋_GB2312" w:eastAsia="仿宋_GB2312"/>
          <w:sz w:val="32"/>
        </w:rPr>
        <w:t>尼勒克县技工学校无下属预算单位，下设2个科室，分别是：办公室、培训室。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2024年度收入总计1,407.97万元，</w:t>
      </w:r>
      <w:r>
        <w:rPr>
          <w:rFonts w:ascii="仿宋_GB2312" w:hAnsi="仿宋_GB2312" w:eastAsia="仿宋_GB2312"/>
          <w:b w:val="0"/>
          <w:sz w:val="32"/>
        </w:rPr>
        <w:t>其中：本年收入合计568.73万元，使用非财政拨款结余（含专用结余）0.00万元，年初结转和结余839.24万元。</w:t>
      </w:r>
    </w:p>
    <w:p>
      <w:pPr>
        <w:spacing w:line="580" w:lineRule="exact"/>
        <w:ind w:firstLine="640"/>
        <w:jc w:val="both"/>
      </w:pPr>
      <w:r>
        <w:rPr>
          <w:rFonts w:ascii="仿宋_GB2312" w:hAnsi="仿宋_GB2312" w:eastAsia="仿宋_GB2312"/>
          <w:b/>
          <w:sz w:val="32"/>
        </w:rPr>
        <w:t>2024年度支出总计1,407.97万元，</w:t>
      </w:r>
      <w:r>
        <w:rPr>
          <w:rFonts w:ascii="仿宋_GB2312" w:hAnsi="仿宋_GB2312" w:eastAsia="仿宋_GB2312"/>
          <w:b w:val="0"/>
          <w:sz w:val="32"/>
        </w:rPr>
        <w:t>其中：本年支出合计608.48万元，结余分配0.00万元，年末结转和结余799.50万元。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增加261.27万元，增长22.78%，主要原因是：本年增加技能培训资金，经费增加。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本年收入568.73万元，</w:t>
      </w:r>
      <w:r>
        <w:rPr>
          <w:rFonts w:ascii="仿宋_GB2312" w:hAnsi="仿宋_GB2312" w:eastAsia="仿宋_GB2312"/>
          <w:b w:val="0"/>
          <w:sz w:val="32"/>
        </w:rPr>
        <w:t>其中：财政拨款收入116.81万元，占20.54%；上级补助收入0.00万元，占0.00%；事业收入0.00万元，占0.00%；经营收入0.00万元，占0.00%；附属单位上缴收入0.00万元，占0.00%；其他收入451.92万元，占79.46%。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本年支出608.48万元，</w:t>
      </w:r>
      <w:r>
        <w:rPr>
          <w:rFonts w:ascii="仿宋_GB2312" w:hAnsi="仿宋_GB2312" w:eastAsia="仿宋_GB2312"/>
          <w:b w:val="0"/>
          <w:sz w:val="32"/>
        </w:rPr>
        <w:t>其中：基本支出588.48万元，占96.71%；项目支出20.00万元，占3.29%；上缴上级支出0.00万元，占0.00%；经营支出0.00万元，占0.00%；对附属单位补助支出0.00万元，占0.00%。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2024年度财政拨款收入总计116.81万元，</w:t>
      </w:r>
      <w:r>
        <w:rPr>
          <w:rFonts w:ascii="仿宋_GB2312" w:hAnsi="仿宋_GB2312" w:eastAsia="仿宋_GB2312"/>
          <w:b w:val="0"/>
          <w:sz w:val="32"/>
        </w:rPr>
        <w:t>其中：年初财政拨款结转和结余0.00万元，本年财政拨款收入116.81万元。</w:t>
      </w:r>
      <w:r>
        <w:rPr>
          <w:rFonts w:ascii="仿宋_GB2312" w:hAnsi="仿宋_GB2312" w:eastAsia="仿宋_GB2312"/>
          <w:b/>
          <w:sz w:val="32"/>
        </w:rPr>
        <w:t>财政拨款支出总计116.81万元，</w:t>
      </w:r>
      <w:r>
        <w:rPr>
          <w:rFonts w:ascii="仿宋_GB2312" w:hAnsi="仿宋_GB2312" w:eastAsia="仿宋_GB2312"/>
          <w:b w:val="0"/>
          <w:sz w:val="32"/>
        </w:rPr>
        <w:t>其中：年末财政拨款结转和结余0.00万元，本年财政拨款支出116.81万元。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减少7.60万元，下降6.11%，主要原因是：电采暖费支出较上年减少，人员变动职级不同，相关经费支出减少111。</w:t>
      </w:r>
      <w:r>
        <w:rPr>
          <w:rFonts w:ascii="仿宋_GB2312" w:hAnsi="仿宋_GB2312" w:eastAsia="仿宋_GB2312"/>
          <w:b/>
          <w:sz w:val="32"/>
        </w:rPr>
        <w:t>与年初预算相比，</w:t>
      </w:r>
      <w:r>
        <w:rPr>
          <w:rFonts w:ascii="仿宋_GB2312" w:hAnsi="仿宋_GB2312" w:eastAsia="仿宋_GB2312"/>
          <w:b w:val="0"/>
          <w:sz w:val="32"/>
        </w:rPr>
        <w:t>年初预算数55.64万元，决算数116.81万元，预决算差异率109.94%，主要原因是：工资调增，年中追加人员工资调增、绩效、公积金及学校电费。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2024年度一般公共预算财政拨款支出116.81万元，</w:t>
      </w:r>
      <w:r>
        <w:rPr>
          <w:rFonts w:ascii="仿宋_GB2312" w:hAnsi="仿宋_GB2312" w:eastAsia="仿宋_GB2312"/>
          <w:b w:val="0"/>
          <w:sz w:val="32"/>
        </w:rPr>
        <w:t>占本年支出合计的19.20%。</w:t>
      </w:r>
      <w:r>
        <w:rPr>
          <w:rFonts w:ascii="仿宋_GB2312" w:hAnsi="仿宋_GB2312" w:eastAsia="仿宋_GB2312"/>
          <w:b/>
          <w:sz w:val="32"/>
        </w:rPr>
        <w:t>与上年相比，</w:t>
      </w:r>
      <w:r>
        <w:rPr>
          <w:rFonts w:ascii="仿宋_GB2312" w:hAnsi="仿宋_GB2312" w:eastAsia="仿宋_GB2312"/>
          <w:b w:val="0"/>
          <w:sz w:val="32"/>
        </w:rPr>
        <w:t>减少7.60万元，下降6.11%，主要原因是：电采暖费支出较上年减少，相关经费支出减少111。</w:t>
      </w:r>
      <w:r>
        <w:rPr>
          <w:rFonts w:ascii="仿宋_GB2312" w:hAnsi="仿宋_GB2312" w:eastAsia="仿宋_GB2312"/>
          <w:b/>
          <w:sz w:val="32"/>
        </w:rPr>
        <w:t>与年初预算相比,</w:t>
      </w:r>
      <w:r>
        <w:rPr>
          <w:rFonts w:ascii="仿宋_GB2312" w:hAnsi="仿宋_GB2312" w:eastAsia="仿宋_GB2312"/>
          <w:b w:val="0"/>
          <w:sz w:val="32"/>
        </w:rPr>
        <w:t>年初预算数55.64万元，决算数116.81万元，预决算差异率109.94%，主要原因是：年中追加人员工资调增、绩效、公积金及学校电费。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1.教育支出(类)103.45万元,占88.56%。</w:t>
      </w:r>
    </w:p>
    <w:p>
      <w:pPr>
        <w:spacing w:line="580" w:lineRule="exact"/>
        <w:ind w:firstLine="640"/>
        <w:jc w:val="both"/>
      </w:pPr>
      <w:r>
        <w:rPr>
          <w:rFonts w:ascii="仿宋_GB2312" w:hAnsi="仿宋_GB2312" w:eastAsia="仿宋_GB2312"/>
          <w:b w:val="0"/>
          <w:sz w:val="32"/>
        </w:rPr>
        <w:t>2.社会保障和就业支出(类)5.84万元,占5.00%。</w:t>
      </w:r>
    </w:p>
    <w:p>
      <w:pPr>
        <w:spacing w:line="580" w:lineRule="exact"/>
        <w:ind w:firstLine="640"/>
        <w:jc w:val="both"/>
      </w:pPr>
      <w:r>
        <w:rPr>
          <w:rFonts w:ascii="仿宋_GB2312" w:hAnsi="仿宋_GB2312" w:eastAsia="仿宋_GB2312"/>
          <w:b w:val="0"/>
          <w:sz w:val="32"/>
        </w:rPr>
        <w:t>3.卫生健康支出(类)2.95万元,占2.53%。</w:t>
      </w:r>
    </w:p>
    <w:p>
      <w:pPr>
        <w:spacing w:line="580" w:lineRule="exact"/>
        <w:ind w:firstLine="640"/>
        <w:jc w:val="both"/>
      </w:pPr>
      <w:r>
        <w:rPr>
          <w:rFonts w:ascii="仿宋_GB2312" w:hAnsi="仿宋_GB2312" w:eastAsia="仿宋_GB2312"/>
          <w:b w:val="0"/>
          <w:sz w:val="32"/>
        </w:rPr>
        <w:t>4.住房保障支出(类)4.57万元,占3.91%。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1.教育支出(类)职业教育(款)技校教育(项):支出决算数为83.45万元，比上年决算增加17.84万元，增长27.19%,主要原因是：人员工资调增，相关经费增加。</w:t>
      </w:r>
    </w:p>
    <w:p>
      <w:pPr>
        <w:spacing w:line="580" w:lineRule="exact"/>
        <w:ind w:firstLine="640"/>
        <w:jc w:val="both"/>
      </w:pPr>
      <w:r>
        <w:rPr>
          <w:rFonts w:ascii="仿宋_GB2312" w:hAnsi="仿宋_GB2312" w:eastAsia="仿宋_GB2312"/>
          <w:b w:val="0"/>
          <w:sz w:val="32"/>
        </w:rPr>
        <w:t>2.教育支出(类)职业教育(款)其他职业教育支出(项):支出决算数为0.00万元，比上年决算减少44.00万元，下降100.00%,主要原因是：较上年减少2021、2022年学生资助补助直达资金项目。</w:t>
      </w:r>
    </w:p>
    <w:p>
      <w:pPr>
        <w:spacing w:line="580" w:lineRule="exact"/>
        <w:ind w:firstLine="640"/>
        <w:jc w:val="both"/>
      </w:pPr>
      <w:r>
        <w:rPr>
          <w:rFonts w:ascii="仿宋_GB2312" w:hAnsi="仿宋_GB2312" w:eastAsia="仿宋_GB2312"/>
          <w:b w:val="0"/>
          <w:sz w:val="32"/>
        </w:rPr>
        <w:t>3.教育支出(类)教育费附加安排的支出(款)中等职业学校教学设施(项):支出决算数为20.00万元，比上年决算增加20.00万元，增长100.00%,主要原因是：本年增加学校电费，经费增加。</w:t>
      </w:r>
    </w:p>
    <w:p>
      <w:pPr>
        <w:spacing w:line="580" w:lineRule="exact"/>
        <w:ind w:firstLine="640"/>
        <w:jc w:val="both"/>
      </w:pPr>
      <w:r>
        <w:rPr>
          <w:rFonts w:ascii="仿宋_GB2312" w:hAnsi="仿宋_GB2312" w:eastAsia="仿宋_GB2312"/>
          <w:b w:val="0"/>
          <w:sz w:val="32"/>
        </w:rPr>
        <w:t>4.教育支出(类)其他教育支出(款)其他教育支出(项):支出决算数为0.00万元，比上年决算减少1.04万元，下降100.00%,主要原因是：本年减少培训学校设备购置费，经费减少。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5.84万元，比上年决算减少0.47万元，下降7.45%,主要原因是：2023年11月调出职级高于2024年7月调入人员职级，职级不同，缴费基数不同，导致养老保险缴费较上年减少。</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6.卫生健康支出(类)行政事业单位医疗(款)事业单位医疗(项):支出决算数为2.95万元，比上年决算增加0.18万元，增长6.50%,主要原因是：本年在职人员工资基数调增，医疗缴费基数上涨，相应支出增加。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4.57万元，比上年决算减少0.11万元，下降2.35%,主要原因是：2023年11月调出职级高于2024年7月调入人员职级，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2024年度一般公共预算财政拨款基本支出96.81万元，其中：</w:t>
      </w:r>
      <w:r>
        <w:rPr>
          <w:rFonts w:ascii="仿宋_GB2312" w:hAnsi="仿宋_GB2312" w:eastAsia="仿宋_GB2312"/>
          <w:b/>
          <w:sz w:val="32"/>
        </w:rPr>
        <w:t>人员经费71.78万元，</w:t>
      </w:r>
      <w:r>
        <w:rPr>
          <w:rFonts w:ascii="仿宋_GB2312" w:hAnsi="仿宋_GB2312" w:eastAsia="仿宋_GB2312"/>
          <w:b w:val="0"/>
          <w:sz w:val="32"/>
        </w:rPr>
        <w:t>包括：基本工资、津贴补贴、奖金、绩效工资、机关事业单位基本养老保险缴费、职工基本医疗保险缴费、其他社会保障缴费、住房公积金、助学金。</w:t>
      </w:r>
    </w:p>
    <w:p>
      <w:pPr>
        <w:spacing w:line="580" w:lineRule="exact"/>
        <w:ind w:firstLine="640"/>
        <w:jc w:val="both"/>
      </w:pPr>
      <w:r>
        <w:rPr>
          <w:rFonts w:ascii="仿宋_GB2312" w:hAnsi="仿宋_GB2312" w:eastAsia="仿宋_GB2312"/>
          <w:b/>
          <w:sz w:val="32"/>
        </w:rPr>
        <w:t>公用经费25.04万元，</w:t>
      </w:r>
      <w:r>
        <w:rPr>
          <w:rFonts w:ascii="仿宋_GB2312" w:hAnsi="仿宋_GB2312" w:eastAsia="仿宋_GB2312"/>
          <w:b w:val="0"/>
          <w:sz w:val="32"/>
        </w:rPr>
        <w:t>包括：取暖费、劳务费。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2024年度尼勒克县技工学校（事业单位）公用经费支出25.04万元，比上年减少8.96万元，下降26.35%，主要原因是：严格控制公用经费，合理节约办公用品，减少不必要开支。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608.48万元，实际执行总额608.48万元；预算绩效评价项目2个，全年预算数806.59万元，全年执行数714.03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尼勒克县技工学校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1,504.64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608.48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608.48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49.51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109.88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109.88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1,449.00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491.67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491.67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积极创造条件，扩展多元招生渠道，在坚持面向城乡初高毕业生、青年求职人员开展学制教育和劳动预备制培训的同时，积极扩展培训对象，面向企业在职职工、农村转移就业劳动者、失业人员、高中毕业生、退役士兵等群体，开展各类职业技能培训。开展各类培训6000人次，涉及服装缝纫、手绣制工作、电子商务、家政服务等15工种，计划完成职业技能培训鉴定2400人以上。</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职业技能培训人员数量达到6000人次，开展技能培训班次达到48次，开设职业技能培训工种达到15个，培训人员参与率达到96%。积极创造条件，扩展多元招生渠道，在坚持面向城乡初高毕业生，青年求职人员开展学制教育和劳动预备制培训的同时，积极扩展培训对象，面向企业在职职工，农村转移就业劳动者，失业人员，高中毕业生，退役士兵等群体，开展各类职业技能培训。</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指标1：职业技能培训人员数量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指标2：开展技能培训班次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指标3：开设职业技能培训工种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指标1：培训人员参与率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2024年学生资助补助资金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尼勒克县技工学校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尼勒克县技工学校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落实高等学校各项国家资助补助政策,实现教育公平显著提升，满足家庭经济困难学生基本学习生活需求，提升学生就业竞争力。通过本项目的实施2024年安排享受免学费资金人数70人，助学金享受人数57人，保障受资助学生满意度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享受免学费资金人数达到70人，享受助学金资金人数达到35人，资助政策助学金覆盖率达到100%，资助政策免学费覆盖率100%，资助资金及时率达到100%，普通高中学生享受助学金资助标准为0.1万元/人/年，项目实际支出6.59万元，通过项目的实施，提高学生技能培训的效益，受资助学生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指标1：享受免学费资金人数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指标2：享受助学金资金人数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指标1：资助政策助学金覆盖率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指标2：资助政策免学费覆盖率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指标1：资助资金及时率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指标1：普通高中学生享受助学金资助标准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=0.20万元/人/年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0.1万元/人/年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=0.20万元/人/年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指标1：提高学生技能培训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指标1：受资助学生满意度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尼勒克县技工学校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尼勒克县技工学校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707.44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88.43%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7.11</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目标1：项目预计开展15种工种的各类培训，提高劳动者的就业能力和创业能力。目标2：项目计划按月支付30名培训老师的课时费，提升教师的积极性，做好城乡劳动力职业技能提升培训工作。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职业技能培训学员数量达到6566人，开展各类培训次数达到73次，开展职业技能培训工种15个，学员合格率达到94%，发放课时费人均成本每月4000元，参加培训人均成本为14.73元，项目实际支出707.44万元。通过项目的实施，有效促进实现稳定就业，提高劳动者的就业能力和创业能力，提升教师的积极性，做好城乡劳动力职业技能提升培训工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指标1：职业技能培训学员数量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6566人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指标2：开展各类培训次数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指标3：开展职业技能培训工种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指标4：发放技能培训课时费人数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指标2：培训学员合格率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指标1：发放课时费人均成本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&gt;=4000元/月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4000元/月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4000元/月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指标2:参加培训人均成本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&lt;=45.28元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14.73元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=45.28元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指标1：促进实现稳定就业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97.11分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