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1.组织编制应急体系建设、安全生产和综合防灾减灾规划，起草县级应急管理、安全生产类综合性规章制度、规范性文件并监督实施。</w:t>
      </w:r>
    </w:p>
    <w:p>
      <w:pPr>
        <w:spacing w:line="580" w:lineRule="exact"/>
        <w:ind w:firstLine="640"/>
        <w:jc w:val="both"/>
      </w:pPr>
      <w:r>
        <w:rPr>
          <w:rFonts w:ascii="仿宋_GB2312" w:hAnsi="仿宋_GB2312" w:eastAsia="仿宋_GB2312"/>
          <w:sz w:val="32"/>
        </w:rPr>
        <w:t>2.组织落实安全生产类、应急体系建设、安全生产和综合防灾减灾规划，细化完善事故灾难和自然灾害分级应对制度，组织编制全县总体应急预案和安全生产类、自然灾害类专项预案，综合协调应急预案衔接工作，组织开展预案演练，推动应急避难设施建设。</w:t>
      </w:r>
    </w:p>
    <w:p>
      <w:pPr>
        <w:spacing w:line="580" w:lineRule="exact"/>
        <w:ind w:firstLine="640"/>
        <w:jc w:val="both"/>
      </w:pPr>
      <w:r>
        <w:rPr>
          <w:rFonts w:ascii="仿宋_GB2312" w:hAnsi="仿宋_GB2312" w:eastAsia="仿宋_GB2312"/>
          <w:sz w:val="32"/>
        </w:rPr>
        <w:t>3.建立监测预警和灾情报告制度，健全自然灾害信息资源获取和共享机制，依法统一发布灾情。</w:t>
      </w:r>
    </w:p>
    <w:p>
      <w:pPr>
        <w:spacing w:line="580" w:lineRule="exact"/>
        <w:ind w:firstLine="640"/>
        <w:jc w:val="both"/>
      </w:pPr>
      <w:r>
        <w:rPr>
          <w:rFonts w:ascii="仿宋_GB2312" w:hAnsi="仿宋_GB2312" w:eastAsia="仿宋_GB2312"/>
          <w:sz w:val="32"/>
        </w:rPr>
        <w:t>4.组织指导协调安全生产类、震灾、火灾扑救、抗洪抢险等自然灾害类突发事件应急救援，以及相关机构的指导煤矿救护和组织协调煤矿事故应急救援，综合研判突发事件发展态势并提出应对建议，协助县委、县人民政府组织重大灾害应急处置工作。</w:t>
      </w:r>
    </w:p>
    <w:p>
      <w:pPr>
        <w:spacing w:line="580" w:lineRule="exact"/>
        <w:ind w:firstLine="640"/>
        <w:jc w:val="both"/>
      </w:pPr>
      <w:r>
        <w:rPr>
          <w:rFonts w:ascii="仿宋_GB2312" w:hAnsi="仿宋_GB2312" w:eastAsia="仿宋_GB2312"/>
          <w:sz w:val="32"/>
        </w:rPr>
        <w:t>5.各部门、相关企业安全生产工作，组织开展安全生产督查、执法检查、考核工作。</w:t>
      </w:r>
    </w:p>
    <w:p>
      <w:pPr>
        <w:spacing w:line="580" w:lineRule="exact"/>
        <w:ind w:firstLine="640"/>
        <w:jc w:val="both"/>
      </w:pPr>
      <w:r>
        <w:rPr>
          <w:rFonts w:ascii="仿宋_GB2312" w:hAnsi="仿宋_GB2312" w:eastAsia="仿宋_GB2312"/>
          <w:sz w:val="32"/>
        </w:rPr>
        <w:t>6.按照分行业、属地原则，依法监督检查工矿商贸（煤矿）除外生产经营单位，贯彻执行安全生产法律法规情况及其安全生产条件。负责监督管理工矿商贸行业安全生产工作。</w:t>
      </w:r>
    </w:p>
    <w:p>
      <w:pPr>
        <w:spacing w:line="580" w:lineRule="exact"/>
        <w:ind w:firstLine="640"/>
        <w:jc w:val="both"/>
      </w:pPr>
      <w:r>
        <w:rPr>
          <w:rFonts w:ascii="仿宋_GB2312" w:hAnsi="仿宋_GB2312" w:eastAsia="仿宋_GB2312"/>
          <w:sz w:val="32"/>
        </w:rPr>
        <w:t>7.依法组织指导生产安全事故调查处理，监督事故查处和责任追究落实情况。</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尼勒克县应急管理局2024年度，实有人数25人，其中：在职人员23人，减少1人；离休人员0人，增加0人；退休人员2人,增加0人。</w:t>
      </w:r>
    </w:p>
    <w:p>
      <w:pPr>
        <w:spacing w:line="580" w:lineRule="exact"/>
        <w:ind w:firstLine="640"/>
        <w:jc w:val="both"/>
      </w:pPr>
      <w:r>
        <w:rPr>
          <w:rFonts w:ascii="仿宋_GB2312" w:hAnsi="仿宋_GB2312" w:eastAsia="仿宋_GB2312"/>
          <w:sz w:val="32"/>
        </w:rPr>
        <w:t>尼勒克县应急管理局无下属预算单位，下设3个科室，分别是：自然灾害预警中心、安全生产执法大队、矿山服务保障中心。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2024年度收入总计370.30万元，</w:t>
      </w:r>
      <w:r>
        <w:rPr>
          <w:rFonts w:ascii="仿宋_GB2312" w:hAnsi="仿宋_GB2312" w:eastAsia="仿宋_GB2312"/>
          <w:b w:val="0"/>
          <w:sz w:val="32"/>
        </w:rPr>
        <w:t>其中：本年收入合计369.45万元，使用非财政拨款结余（含专用结余）0.00万元，年初结转和结余0.85万元。</w:t>
      </w:r>
    </w:p>
    <w:p>
      <w:pPr>
        <w:spacing w:line="580" w:lineRule="exact"/>
        <w:ind w:firstLine="640"/>
        <w:jc w:val="both"/>
      </w:pPr>
      <w:r>
        <w:rPr>
          <w:rFonts w:ascii="仿宋_GB2312" w:hAnsi="仿宋_GB2312" w:eastAsia="仿宋_GB2312"/>
          <w:b/>
          <w:sz w:val="32"/>
        </w:rPr>
        <w:t>2024年度支出总计370.30万元，</w:t>
      </w:r>
      <w:r>
        <w:rPr>
          <w:rFonts w:ascii="仿宋_GB2312" w:hAnsi="仿宋_GB2312" w:eastAsia="仿宋_GB2312"/>
          <w:b w:val="0"/>
          <w:sz w:val="32"/>
        </w:rPr>
        <w:t>其中：本年支出合计370.28万元，结余分配0.00万元，年末结转和结余0.02万元。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减少34.83万元，下降8.60%，主要原因是：本年在职人员减少，相关人员经费较上年减少。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本年收入369.45万元，</w:t>
      </w:r>
      <w:r>
        <w:rPr>
          <w:rFonts w:ascii="仿宋_GB2312" w:hAnsi="仿宋_GB2312" w:eastAsia="仿宋_GB2312"/>
          <w:b w:val="0"/>
          <w:sz w:val="32"/>
        </w:rPr>
        <w:t>其中：财政拨款收入366.80万元，占99.28%；上级补助收入0.00万元，占0.00%；事业收入0.00万元，占0.00%；经营收入0.00万元，占0.00%；附属单位上缴收入0.00万元，占0.00%；其他收入2.65万元，占0.72%。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本年支出370.28万元，</w:t>
      </w:r>
      <w:r>
        <w:rPr>
          <w:rFonts w:ascii="仿宋_GB2312" w:hAnsi="仿宋_GB2312" w:eastAsia="仿宋_GB2312"/>
          <w:b w:val="0"/>
          <w:sz w:val="32"/>
        </w:rPr>
        <w:t>其中：基本支出370.28万元，占100.00%；项目支出0.00万元，占0.00%；上缴上级支出0.00万元，占0.00%；经营支出0.00万元，占0.00%；对附属单位补助支出0.00万元，占0.00%。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2024年度财政拨款收入总计366.80万元，</w:t>
      </w:r>
      <w:r>
        <w:rPr>
          <w:rFonts w:ascii="仿宋_GB2312" w:hAnsi="仿宋_GB2312" w:eastAsia="仿宋_GB2312"/>
          <w:b w:val="0"/>
          <w:sz w:val="32"/>
        </w:rPr>
        <w:t>其中：年初财政拨款结转和结余0.00万元，本年财政拨款收入366.80万元。</w:t>
      </w:r>
      <w:r>
        <w:rPr>
          <w:rFonts w:ascii="仿宋_GB2312" w:hAnsi="仿宋_GB2312" w:eastAsia="仿宋_GB2312"/>
          <w:b/>
          <w:sz w:val="32"/>
        </w:rPr>
        <w:t>财政拨款支出总计366.80万元，</w:t>
      </w:r>
      <w:r>
        <w:rPr>
          <w:rFonts w:ascii="仿宋_GB2312" w:hAnsi="仿宋_GB2312" w:eastAsia="仿宋_GB2312"/>
          <w:b w:val="0"/>
          <w:sz w:val="32"/>
        </w:rPr>
        <w:t>其中：年末财政拨款结转和结余0.00万元，本年财政拨款支出366.80万元。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减少30.84万元，下降7.76%，主要原因是：本年在职人员减少，相关人员经费较上年减少。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年初预算数463.01万元，决算数366.80万元，预决算差异率-20.78%，主要原因是：年初预算中包含安全生产购买服务项目经费，未执行完毕，导致预决算存在差异。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2024年度一般公共预算财政拨款支出366.80万元，</w:t>
      </w:r>
      <w:r>
        <w:rPr>
          <w:rFonts w:ascii="仿宋_GB2312" w:hAnsi="仿宋_GB2312" w:eastAsia="仿宋_GB2312"/>
          <w:b w:val="0"/>
          <w:sz w:val="32"/>
        </w:rPr>
        <w:t>占本年支出合计的99.06%。</w:t>
      </w:r>
      <w:r>
        <w:rPr>
          <w:rFonts w:ascii="仿宋_GB2312" w:hAnsi="仿宋_GB2312" w:eastAsia="仿宋_GB2312"/>
          <w:b/>
          <w:sz w:val="32"/>
        </w:rPr>
        <w:t>与上年相比，</w:t>
      </w:r>
      <w:r>
        <w:rPr>
          <w:rFonts w:ascii="仿宋_GB2312" w:hAnsi="仿宋_GB2312" w:eastAsia="仿宋_GB2312"/>
          <w:b w:val="0"/>
          <w:sz w:val="32"/>
        </w:rPr>
        <w:t>减少30.84万元，下降7.76%，主要原因是：本年在职人员减少，相关人员经费较上年减少。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年初预算数463.01万元，决算数366.80万元，预决算差异率-20.78%，主要原因是：年初预算中包含安全生产购买服务项目经费，未执行完毕，导致预决算存在差异。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1.社会保障和就业支出(类)38.79万元,占10.58%。</w:t>
      </w:r>
    </w:p>
    <w:p>
      <w:pPr>
        <w:spacing w:line="580" w:lineRule="exact"/>
        <w:ind w:firstLine="640"/>
        <w:jc w:val="both"/>
      </w:pPr>
      <w:r>
        <w:rPr>
          <w:rFonts w:ascii="仿宋_GB2312" w:hAnsi="仿宋_GB2312" w:eastAsia="仿宋_GB2312"/>
          <w:b w:val="0"/>
          <w:sz w:val="32"/>
        </w:rPr>
        <w:t>2.卫生健康支出(类)18.86万元,占5.14%。</w:t>
      </w:r>
    </w:p>
    <w:p>
      <w:pPr>
        <w:spacing w:line="580" w:lineRule="exact"/>
        <w:ind w:firstLine="640"/>
        <w:jc w:val="both"/>
      </w:pPr>
      <w:r>
        <w:rPr>
          <w:rFonts w:ascii="仿宋_GB2312" w:hAnsi="仿宋_GB2312" w:eastAsia="仿宋_GB2312"/>
          <w:b w:val="0"/>
          <w:sz w:val="32"/>
        </w:rPr>
        <w:t>3.住房保障支出(类)29.49万元,占8.04%。</w:t>
      </w:r>
    </w:p>
    <w:p>
      <w:pPr>
        <w:spacing w:line="580" w:lineRule="exact"/>
        <w:ind w:firstLine="640"/>
        <w:jc w:val="both"/>
      </w:pPr>
      <w:r>
        <w:rPr>
          <w:rFonts w:ascii="仿宋_GB2312" w:hAnsi="仿宋_GB2312" w:eastAsia="仿宋_GB2312"/>
          <w:b w:val="0"/>
          <w:sz w:val="32"/>
        </w:rPr>
        <w:t>4.灾害防治及应急管理支出(类)279.66万元,占76.24%。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1.社会保障和就业支出(类)行政事业单位养老支出(款)行政单位离退休(项):支出决算数为1.32万元，比上年决算增加0.42万元，增长46.67%,主要原因是：本年增加退休人员基础绩效奖，退休费支出增加。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37.47万元，比上年决算增加4.92万元，增长15.12%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3.卫生健康支出(类)行政事业单位医疗(款)行政单位医疗(项):支出决算数为3.86万元，比上年决算减少1.00万元，下降20.58%,主要原因是：本年在职人员减少，行政单位医疗支出较上年减少。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4.卫生健康支出(类)行政事业单位医疗(款)事业单位医疗(项):支出决算数为14.91万元，比上年决算增加5.02万元，增长50.76%,主要原因是：本年在职人员工资基数调增，医疗缴费基数上涨，相应支出增加。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5.卫生健康支出(类)行政事业单位医疗(款)公务员医疗补助(项):支出决算数为0.09万元，比上年决算减少0.09万元，下降50.00%,主要原因是：本年在职人员减少，公务员医疗补助较上年减少。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6.住房保障支出(类)住房改革支出(款)住房公积金(项):支出决算数为29.49万元，比上年决算增加2.55万元，增长9.47%,主要原因是：本年在职人员工资基数调增，公积金缴费基数上涨，相应支出增加。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7.灾害防治及应急管理支出(类)应急管理事务(款)行政运行(项):支出决算数为277.71万元，比上年决算减少0.66万元，下降0.24%,主要原因是：本年在职人员减少，相应人员经费较上年减少。</w:t>
      </w:r>
    </w:p>
    <w:p>
      <w:pPr>
        <w:spacing w:line="580" w:lineRule="exact"/>
        <w:ind w:firstLine="640"/>
        <w:jc w:val="both"/>
      </w:pPr>
      <w:r>
        <w:rPr>
          <w:rFonts w:ascii="仿宋_GB2312" w:hAnsi="仿宋_GB2312" w:eastAsia="仿宋_GB2312"/>
          <w:b w:val="0"/>
          <w:sz w:val="32"/>
        </w:rPr>
        <w:t>8.灾害防治及应急管理支出(类)应急管理事务(款)其他应急管理支出(项):支出决算数为1.95万元，比上年决算减少3.05万元，下降61.00%,主要原因是：本年减少应急管理资金。</w:t>
      </w:r>
    </w:p>
    <w:p>
      <w:pPr>
        <w:spacing w:line="580" w:lineRule="exact"/>
        <w:ind w:firstLine="640"/>
        <w:jc w:val="both"/>
      </w:pPr>
      <w:r>
        <w:rPr>
          <w:rFonts w:ascii="仿宋_GB2312" w:hAnsi="仿宋_GB2312" w:eastAsia="仿宋_GB2312"/>
          <w:b w:val="0"/>
          <w:sz w:val="32"/>
        </w:rPr>
        <w:t>9.灾害防治及应急管理支出(类)自然灾害救灾及恢复重建支出(款)自然灾害救灾补助(项):支出决算数为0.00万元，比上年决算减少38.96万元，下降100.00%,主要原因是：本年减少自然灾害冬春救助项目资金。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2024年度一般公共预算财政拨款基本支出366.80万元，其中：</w:t>
      </w:r>
      <w:r>
        <w:rPr>
          <w:rFonts w:ascii="仿宋_GB2312" w:hAnsi="仿宋_GB2312" w:eastAsia="仿宋_GB2312"/>
          <w:b/>
          <w:sz w:val="32"/>
        </w:rPr>
        <w:t>人员经费360.56万元，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公用经费6.24万元，</w:t>
      </w:r>
      <w:r>
        <w:rPr>
          <w:rFonts w:ascii="仿宋_GB2312" w:hAnsi="仿宋_GB2312" w:eastAsia="仿宋_GB2312"/>
          <w:b w:val="0"/>
          <w:sz w:val="32"/>
        </w:rPr>
        <w:t>包括：办公费、水费、电费、邮电费、差旅费、公务用车运行维护费、其他交通费用。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比上年增加0.00万元，增长0.00%，主要原因是：我单位财政拨款“三公”经费支出与上年一致无变化。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公务用车购置及运行维护费支出0.50万元，占100.00%，比上年增加0.00万元，增长0.00%，主要原因是：我单位公务用车购置及运行维护费与上年一致无变化。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2024年度尼勒克县应急管理局（行政单位和参照公务员法管理事业单位）机关运行经费支出6.24万元，比上年减少9.00万元，下降59.06%，主要原因是：严控经费支出，厉行节约，减少经费支出。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2024年度政府采购支出总额3.85万元，其中：政府采购货物支出0.35万元、政府采购工程支出0.00万元、政府采购服务支出3.50万元。</w:t>
      </w:r>
    </w:p>
    <w:p>
      <w:pPr>
        <w:spacing w:line="580" w:lineRule="exact"/>
        <w:ind w:firstLine="640"/>
        <w:jc w:val="both"/>
      </w:pPr>
      <w:r>
        <w:rPr>
          <w:rFonts w:ascii="仿宋_GB2312" w:hAnsi="仿宋_GB2312" w:eastAsia="仿宋_GB2312"/>
          <w:b w:val="0"/>
          <w:sz w:val="32"/>
        </w:rPr>
        <w:t>授予中小企业合同金额0.85万元，占政府采购支出总额的22.08%，其中：授予小微企业合同金额0.85万元，占政府采购支出总额的22.08%。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20.00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370.28万元，实际执行总额370.28万元；预算绩效评价项目2个，全年预算数34.50万元，全年执行数34.50万元。预算绩效管理取得的成效：一是提高资金使用效率：预算绩效管理确保资金投向最需要的领域，避免浪费。提高了资金的使用效益。二是促进政策落实与公共服务质量提升：绩效管理推动政府部门更好地履行职责，提高公共服务水平。发现的问题及原因：一是个别项目工作下达的个别指标未完成。二是强化安全培训教育，提高全员安全意识。三是我单位在项目绩效目标设定、预算执行、资金使用等方面，不同程度地存在一些操作不够规范、跟踪不够及时、衔接不够充分、监督不到位等问题。下一步改进措施：一是坚持推行精细化管理，强化预算绩效目标管理、细化绩效目标，并将绩效目标细化分解为具体工作计划，同时，计划应明确规定在一定时间内完成的目标、任务和和应达到的要求，</w:t>
        <w:tab/>
        <w:t>二是任务和要求应具体明确任务数量、质量。建立健全财政各项资金管理制度，严格执行财务管理制度，做到了财务处理及时，会计核算规范，严格按照计划进度支付。三是各项目资金严格实行专款专用，保证更规范严要求使用资金。在下年度的预算编制工作中，我们会时刻跟踪项目的进度，更好地完成预算资金，做好绩效评价工作。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尼勒克县应急管理局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473.01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370.28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370.28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463.01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366.80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366.80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认真贯彻习近平总书记关于应急管理，上级业务部门的各项工作部署要求，强化隐患排查，全力防范化解安全风险，及时处理应急突发事件，全面落实县委、政府工作安排部署负责应急管理工作，企业安全生产、防治减灾培训，保障服务范围内安全生产，降低事故发生。</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安全隐患排查次数达到40次，企业安全生产、防治减灾培训、宣传次数达到20次，安全生产应急能力提升政策知晓率达到98%，安全生产培训人员参与率达到98%。化隐患排查，全力防范化解安全风险，及时处理应急突发事件，全面落实县委、政府工作安排部署负责应急管理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企业安全生产、防治减灾培训、宣传次数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安全生产应急能力提升政策知晓率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安全生产培训人员参与率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尼勒克县应急管理局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尼勒克县应急管理局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目标1：计划“三网一员”补助按月发放200元/人，涉及11人，确保地震勘测点位工作正常开展。目标2：保障23名工作人员正常开展业务工作，确保防震减灾工作顺利开展。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年已完成发放“三网一员”补助人数达到11人，保障办公人员数量达到11人，公务保障用车数量达到1辆，资金支付准确率达到100%，项目实际支出3.5万元，通过该项目的实施，基本完成地震监测预报预警能力建设，确保地震勘测点位工作正常开展，确保防震减灾工作顺利开展。</w:t>
              <w:tab/>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指标1：发放“三网一员”补助人数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指标1：“三网一员”补助平均成本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指标3：公务用车运行平均成本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指标1：地震监测预报预警能力建设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2023年安全生产预防和应急救援能力建设补助资金 伊州财建【2023】169号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尼勒克县应急管理局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尼勒克县应急管理局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2023年安全生产预付和应急救援能力建设补助资金预算的通知，通过对重点矿山场安装现远程监测监控，重大安全风险全面感知、动态监测、智能预警、分级响应和快速处置，达到推动提升矿山重大灾害风险防控能力，夯实矿山安全基础，最大程度发挥现有系统和设施的作用，实现建设资金的利用效益最优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发放安全生产预防和应急救援补助单位1个，安全生产应急能力提升政策知晓率达到100%，补助单位安全隐患降低率达到95%，救援资金支付及时率达到100%，支项目实际支付31万元。通过项目的实施,提高灾害事故预防能力，提升落实安全生产主体责任。</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发放安全生产预防和应急救援补助单位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安全生产应急能力提升政策知晓率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补助单位安全隐患降低率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救援资金支付及时率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支付安全生产预防和应急救援资金额度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提高灾害事故预防能力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提升落实安全生产主体责任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