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尼勒克县市场监督局2024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市场综合监督管理和知识产权管理及主体统一登记注册、维护市场秩序。贯彻执行国家、自治区市场监督管理和知识产权有关法律和法规，组织实施质量强县战略、食品安全战略、标准化战略和知识产权战略。拟订并组织实施有关规划，规范和维护市场秩序，营造诚实守信、公平竞争的市场环境。</w:t>
      </w:r>
    </w:p>
    <w:p>
      <w:pPr>
        <w:spacing w:line="580" w:lineRule="exact"/>
        <w:ind w:firstLine="640"/>
        <w:jc w:val="both"/>
      </w:pPr>
      <w:r>
        <w:rPr>
          <w:rFonts w:ascii="仿宋_GB2312" w:hAnsi="仿宋_GB2312" w:eastAsia="仿宋_GB2312"/>
          <w:sz w:val="32"/>
        </w:rPr>
        <w:t>（2）负责宏观质量管理及监督管理。实施质量发展的制度措施。统筹质量基础设施建设与应用，会同有关部门组织实施重大工程设备质量监理制度，组织重大质量事故调查，组织实施缺陷产品召回制度，监督管理产品防伪工作。</w:t>
      </w:r>
    </w:p>
    <w:p>
      <w:pPr>
        <w:spacing w:line="580" w:lineRule="exact"/>
        <w:ind w:firstLine="640"/>
        <w:jc w:val="both"/>
      </w:pPr>
      <w:r>
        <w:rPr>
          <w:rFonts w:ascii="仿宋_GB2312" w:hAnsi="仿宋_GB2312" w:eastAsia="仿宋_GB2312"/>
          <w:sz w:val="32"/>
        </w:rPr>
        <w:t>（3）负责特种设备、食品药品化妆品医疗器械安全监督管理。综合管理特种设备安全监察、监督工作，监督检查高耗能特种设备节能标准和锅炉环境保护标准的执行情况。</w:t>
      </w:r>
    </w:p>
    <w:p>
      <w:pPr>
        <w:spacing w:line="580" w:lineRule="exact"/>
        <w:ind w:firstLine="640"/>
        <w:jc w:val="both"/>
      </w:pPr>
      <w:r>
        <w:rPr>
          <w:rFonts w:ascii="仿宋_GB2312" w:hAnsi="仿宋_GB2312" w:eastAsia="仿宋_GB2312"/>
          <w:sz w:val="32"/>
        </w:rPr>
        <w:t>（4）负责统一管理计量、标准化管理、检验检测工作。执行国家计量制度，推行国家法定计量单位，依法管理计量器具及量值传递，配合做好比对工作。规范、监督商品量和市场计量行为。</w:t>
      </w:r>
    </w:p>
    <w:p>
      <w:pPr>
        <w:spacing w:line="580" w:lineRule="exact"/>
        <w:ind w:firstLine="640"/>
        <w:jc w:val="both"/>
      </w:pPr>
      <w:r>
        <w:rPr>
          <w:rFonts w:ascii="仿宋_GB2312" w:hAnsi="仿宋_GB2312" w:eastAsia="仿宋_GB2312"/>
          <w:sz w:val="32"/>
        </w:rPr>
        <w:t>（5）负责市场监督管理和知识产权科技与信息化建设、新闻宣传，按规定承担技术性贸易措施有关工作。</w:t>
      </w:r>
    </w:p>
    <w:p>
      <w:pPr>
        <w:spacing w:line="580" w:lineRule="exact"/>
        <w:ind w:firstLine="640"/>
        <w:jc w:val="both"/>
      </w:pPr>
      <w:r>
        <w:rPr>
          <w:rFonts w:ascii="仿宋_GB2312" w:hAnsi="仿宋_GB2312" w:eastAsia="仿宋_GB2312"/>
          <w:sz w:val="32"/>
        </w:rPr>
        <w:t>（6）承担尼勒克县食品安全委员会日常工作。</w:t>
      </w:r>
    </w:p>
    <w:p>
      <w:pPr>
        <w:spacing w:line="580" w:lineRule="exact"/>
        <w:ind w:firstLine="640"/>
        <w:jc w:val="both"/>
      </w:pPr>
      <w:r>
        <w:rPr>
          <w:rFonts w:ascii="仿宋_GB2312" w:hAnsi="仿宋_GB2312" w:eastAsia="仿宋_GB2312"/>
          <w:sz w:val="32"/>
        </w:rPr>
        <w:t>（7）完成尼勒克县委、县人民政府交办的其他任务。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尼勒克县市场监督局2024年度，实有人数96人，其中：在职人员42人，减少4人；离休人员0人，增加0人；退休人员54人,增加1人。</w:t>
      </w:r>
    </w:p>
    <w:p>
      <w:pPr>
        <w:spacing w:line="580" w:lineRule="exact"/>
        <w:ind w:firstLine="640"/>
        <w:jc w:val="both"/>
      </w:pPr>
      <w:r>
        <w:rPr>
          <w:rFonts w:ascii="仿宋_GB2312" w:hAnsi="仿宋_GB2312" w:eastAsia="仿宋_GB2312"/>
          <w:sz w:val="32"/>
        </w:rPr>
        <w:t>尼勒克县市场监督局无下属预算单位，下设9个科室，分别是：综合办公室、政策法规科、市场规范管理科（消费者权益保护）、食品安全监督管理科（食品药品安全应急管理办公室）、药品化妆品监督管理科、企业监督管理科、质量标准计量监督科、特种设备安全监管科、知识产权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2024年度收入总计766.24万元，</w:t>
      </w:r>
      <w:r>
        <w:rPr>
          <w:rFonts w:ascii="仿宋_GB2312" w:hAnsi="仿宋_GB2312" w:eastAsia="仿宋_GB2312"/>
          <w:b w:val="0"/>
          <w:sz w:val="32"/>
        </w:rPr>
        <w:t>其中：本年收入合计766.24万元，使用非财政拨款结余（含专用结余）0.00万元，年初结转和结余0.00万元。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2024年度支出总计766.24万元，</w:t>
      </w:r>
      <w:r>
        <w:rPr>
          <w:rFonts w:ascii="仿宋_GB2312" w:hAnsi="仿宋_GB2312" w:eastAsia="仿宋_GB2312"/>
          <w:b w:val="0"/>
          <w:sz w:val="32"/>
        </w:rPr>
        <w:t>其中：本年支出合计766.22万元，结余分配0.00万元，年末结转和结余0.02万元。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减少37.82万元，下降4.70%，主要原因是：本年在职人员减少，减少退休人员丧葬费，相关人员经费及公用经费支出减少。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本年收入766.24万元，</w:t>
      </w:r>
      <w:r>
        <w:rPr>
          <w:rFonts w:ascii="仿宋_GB2312" w:hAnsi="仿宋_GB2312" w:eastAsia="仿宋_GB2312"/>
          <w:b w:val="0"/>
          <w:sz w:val="32"/>
        </w:rPr>
        <w:t>其中：财政拨款收入761.22万元，占99.34%；上级补助收入0.00万元，占0.00%；事业收入0.00万元，占0.00%；经营收入0.00万元，占0.00%；附属单位上缴收入0.00万元，占0.00%；其他收入5.02万元，占0.66%。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本年支出766.22万元，</w:t>
      </w:r>
      <w:r>
        <w:rPr>
          <w:rFonts w:ascii="仿宋_GB2312" w:hAnsi="仿宋_GB2312" w:eastAsia="仿宋_GB2312"/>
          <w:b w:val="0"/>
          <w:sz w:val="32"/>
        </w:rPr>
        <w:t>其中：基本支出758.09万元，占98.94%；项目支出8.13万元，占1.06%；上缴上级支出0.00万元，占0.00%；经营支出0.00万元，占0.00%；对附属单位补助支出0.00万元，占0.00%。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2024年度财政拨款收入总计761.22万元，</w:t>
      </w:r>
      <w:r>
        <w:rPr>
          <w:rFonts w:ascii="仿宋_GB2312" w:hAnsi="仿宋_GB2312" w:eastAsia="仿宋_GB2312"/>
          <w:b w:val="0"/>
          <w:sz w:val="32"/>
        </w:rPr>
        <w:t>其中：年初财政拨款结转和结余0.00万元，本年财政拨款收入761.22万元。</w:t>
      </w:r>
      <w:r>
        <w:rPr>
          <w:rFonts w:ascii="仿宋_GB2312" w:hAnsi="仿宋_GB2312" w:eastAsia="仿宋_GB2312"/>
          <w:b/>
          <w:sz w:val="32"/>
        </w:rPr>
        <w:t>财政拨款支出总计761.22万元，</w:t>
      </w:r>
      <w:r>
        <w:rPr>
          <w:rFonts w:ascii="仿宋_GB2312" w:hAnsi="仿宋_GB2312" w:eastAsia="仿宋_GB2312"/>
          <w:b w:val="0"/>
          <w:sz w:val="32"/>
        </w:rPr>
        <w:t>其中：年末财政拨款结转和结余0.00万元，本年财政拨款支出761.22万元。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减少42.84万元，下降5.33%，主要原因是：本年在职人员减少，减少退休人员丧葬费，相关人员经费及公用经费支出减少。</w:t>
      </w:r>
      <w:r>
        <w:rPr>
          <w:rFonts w:ascii="仿宋_GB2312" w:hAnsi="仿宋_GB2312" w:eastAsia="仿宋_GB2312"/>
          <w:b/>
          <w:sz w:val="32"/>
        </w:rPr>
        <w:t>与年初预算相比，</w:t>
      </w:r>
      <w:r>
        <w:rPr>
          <w:rFonts w:ascii="仿宋_GB2312" w:hAnsi="仿宋_GB2312" w:eastAsia="仿宋_GB2312"/>
          <w:b w:val="0"/>
          <w:sz w:val="32"/>
        </w:rPr>
        <w:t>年初预算数814.82万元，决算数761.22万元，预决算差异率-6.58%，主要原因是：本年在职人员减少，减少退休人员丧葬费，年中调减相关人员经费及公用经费，导致预决算差异。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2024年度一般公共预算财政拨款支出761.22万元，</w:t>
      </w:r>
      <w:r>
        <w:rPr>
          <w:rFonts w:ascii="仿宋_GB2312" w:hAnsi="仿宋_GB2312" w:eastAsia="仿宋_GB2312"/>
          <w:b w:val="0"/>
          <w:sz w:val="32"/>
        </w:rPr>
        <w:t>占本年支出合计的99.35%。</w:t>
      </w:r>
      <w:r>
        <w:rPr>
          <w:rFonts w:ascii="仿宋_GB2312" w:hAnsi="仿宋_GB2312" w:eastAsia="仿宋_GB2312"/>
          <w:b/>
          <w:sz w:val="32"/>
        </w:rPr>
        <w:t>与上年相比，</w:t>
      </w:r>
      <w:r>
        <w:rPr>
          <w:rFonts w:ascii="仿宋_GB2312" w:hAnsi="仿宋_GB2312" w:eastAsia="仿宋_GB2312"/>
          <w:b w:val="0"/>
          <w:sz w:val="32"/>
        </w:rPr>
        <w:t>减少42.84万元，下降5.33%，主要原因是：本年在职人员减少，减少退休人员丧葬费，相关人员经费及公用经费支出减少。</w:t>
      </w:r>
      <w:r>
        <w:rPr>
          <w:rFonts w:ascii="仿宋_GB2312" w:hAnsi="仿宋_GB2312" w:eastAsia="仿宋_GB2312"/>
          <w:b/>
          <w:sz w:val="32"/>
        </w:rPr>
        <w:t>与年初预算相比,</w:t>
      </w:r>
      <w:r>
        <w:rPr>
          <w:rFonts w:ascii="仿宋_GB2312" w:hAnsi="仿宋_GB2312" w:eastAsia="仿宋_GB2312"/>
          <w:b w:val="0"/>
          <w:sz w:val="32"/>
        </w:rPr>
        <w:t>年初预算数814.82万元，决算数761.22万元，预决算差异率-6.58%，主要原因是：本年在职人员减少，减少退休人员丧葬费，年中调减相关人员经费及公用经费，导致预决算差异。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1.一般公共服务支出(类)549.31万元,占72.16%。</w:t>
      </w:r>
    </w:p>
    <w:p>
      <w:pPr>
        <w:spacing w:line="580" w:lineRule="exact"/>
        <w:ind w:firstLine="640"/>
        <w:jc w:val="both"/>
      </w:pPr>
      <w:r>
        <w:rPr>
          <w:rFonts w:ascii="仿宋_GB2312" w:hAnsi="仿宋_GB2312" w:eastAsia="仿宋_GB2312"/>
          <w:b w:val="0"/>
          <w:sz w:val="32"/>
        </w:rPr>
        <w:t>2.社会保障和就业支出(类)119.23万元,占15.66%。</w:t>
      </w:r>
    </w:p>
    <w:p>
      <w:pPr>
        <w:spacing w:line="580" w:lineRule="exact"/>
        <w:ind w:firstLine="640"/>
        <w:jc w:val="both"/>
      </w:pPr>
      <w:r>
        <w:rPr>
          <w:rFonts w:ascii="仿宋_GB2312" w:hAnsi="仿宋_GB2312" w:eastAsia="仿宋_GB2312"/>
          <w:b w:val="0"/>
          <w:sz w:val="32"/>
        </w:rPr>
        <w:t>3.卫生健康支出(类)35.15万元,占4.62%。</w:t>
      </w:r>
    </w:p>
    <w:p>
      <w:pPr>
        <w:spacing w:line="580" w:lineRule="exact"/>
        <w:ind w:firstLine="640"/>
        <w:jc w:val="both"/>
      </w:pPr>
      <w:r>
        <w:rPr>
          <w:rFonts w:ascii="仿宋_GB2312" w:hAnsi="仿宋_GB2312" w:eastAsia="仿宋_GB2312"/>
          <w:b w:val="0"/>
          <w:sz w:val="32"/>
        </w:rPr>
        <w:t>4.住房保障支出(类)57.53万元,占7.56%。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1.一般公共服务支出(类)市场监督管理事务(款)行政运行(项):支出决算数为541.19万元，比上年决算增加13.17万元，增长2.49%,主要原因是：本年增加食品药品补助资金，导致经费较上年增加。</w:t>
      </w:r>
    </w:p>
    <w:p>
      <w:pPr>
        <w:spacing w:line="580" w:lineRule="exact"/>
        <w:ind w:firstLine="640"/>
        <w:jc w:val="both"/>
      </w:pPr>
      <w:r>
        <w:rPr>
          <w:rFonts w:ascii="仿宋_GB2312" w:hAnsi="仿宋_GB2312" w:eastAsia="仿宋_GB2312"/>
          <w:b w:val="0"/>
          <w:sz w:val="32"/>
        </w:rPr>
        <w:t>2.一般公共服务支出(类)市场监督管理事务(款)其他市场监督管理事务(项):支出决算数为8.13万元，比上年决算增加8.13万元，增长100.00%,主要原因是：本年此科目增加原工商所建设项目欠款。</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3.社会保障和就业支出(类)行政事业单位养老支出(款)行政单位离退休(项):支出决算数为38.22万元，比上年决算增加11.28万元，增长41.87%,主要原因是：本年增加退休人员基础绩效奖，退休费支出增加。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73.37万元，比上年决算增加14.59万元，增长24.82%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7.63万元，比上年决算减少4.78万元，下降38.52%,主要原因是：本年新增退休人员较上年减少，职员年金缴费也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6.社会保障和就业支出(类)抚恤(款)死亡抚恤(项):支出决算数为0.00万元，比上年决算减少88.19万元，下降100.00%,主要原因是：本年无新增死亡人员，死亡抚恤支出较上年减少。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7.卫生健康支出(类)行政事业单位医疗(款)行政单位医疗(项):支出决算数为20.54万元，比上年决算减少10.82万元，下降34.50%,主要原因是：本年在职人员减少，导致经费较上年减少。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8.卫生健康支出(类)行政事业单位医疗(款)事业单位医疗(项):支出决算数为13.95万元，比上年决算增加8.83万元，增长172.46%,主要原因是：本年在职人员减少，导致经费较上年增加。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9.卫生健康支出(类)行政事业单位医疗(款)公务员医疗补助(项):支出决算数为0.66万元，比上年决算减少0.43万元，下降39.45%,主要原因是：本年在职人员调出减少，公务员医疗补助较上年减少。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10.住房保障支出(类)住房改革支出(款)住房公积金(项):支出决算数为57.53万元，比上年决算增加5.39万元，增长10.34%,主要原因是：本年在职人员工资基数调增，公积金缴费基数上涨，相应支出增加。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2024年度一般公共预算财政拨款基本支出753.09万元，其中：</w:t>
      </w:r>
      <w:r>
        <w:rPr>
          <w:rFonts w:ascii="仿宋_GB2312" w:hAnsi="仿宋_GB2312" w:eastAsia="仿宋_GB2312"/>
          <w:b/>
          <w:sz w:val="32"/>
        </w:rPr>
        <w:t>人员经费742.06万元，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公用经费11.04万元，</w:t>
      </w:r>
      <w:r>
        <w:rPr>
          <w:rFonts w:ascii="仿宋_GB2312" w:hAnsi="仿宋_GB2312" w:eastAsia="仿宋_GB2312"/>
          <w:b w:val="0"/>
          <w:sz w:val="32"/>
        </w:rPr>
        <w:t>包括：办公费、印刷费、电费、邮电费、公务用车运行维护费。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2024年度财政拨款“三公”经费支出3.38万元，</w:t>
      </w:r>
      <w:r>
        <w:rPr>
          <w:rFonts w:ascii="仿宋_GB2312" w:hAnsi="仿宋_GB2312" w:eastAsia="仿宋_GB2312"/>
          <w:b w:val="0"/>
          <w:sz w:val="32"/>
        </w:rPr>
        <w:t>比上年减少3.24万元，下降48.94%，主要原因是：严格落实中央八项规定精神，厉行节约，减少公务用车运行维护费。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公务用车购置及运行维护费支出3.38万元，占100.00%，比上年减少3.24万元，下降48.94%，主要原因是：严格落实中央八项规定精神，厉行节约，减少公务用车运行维护费。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3.38万元，其中：公务用车购置费0.00万元，公务用车运行维护费3.38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3.50万元，决算数3.38万元，预决算差异率-3.43%，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3.50万元，决算数3.38万元，预决算差异率-3.43%，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2024年度尼勒克县市场监督局（行政单位和参照公务员法管理事业单位）机关运行经费支出11.04万元，比上年减少21.48万元，下降66.05%，主要原因是：严控经费支出，厉行节约，减少经费支出。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7,972.92平方米，价值530.38万元。车辆8辆，价值222.53万元，其中：副部（省）级及以上领导用车0辆、主要负责人用车0辆、机要通信用车0辆、应急保障用车0辆、执法执勤用车6辆、特种专业技术用车0辆、离退休干部服务用车0辆、其他用车2辆，其他用车主要是：检测车1辆，一般公务用车1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766.22万元，实际执行总额766.22万元；预算绩效评价项目2个，全年预算数5.30万元，全年执行数5.30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814.82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766.22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766.22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782.27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严格食品、药品、医疗器械、化妆品、质量、计量、特种设备等安全执法监管、深化放管服改革；加大市场监管，营造良好的营商环境；推进安全监管工作，确保稳定市场秩序；及时发放人员工资及社保，保障日常工作正常运转。</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特种设备巡查次数达到4次，药械监督检查次数达到10次，食品安全监督检查覆盖率达到100%，完成消费者投诉办结率达到100%。加大市场监管，营造良好的营商环境，推进安全监管工作，确保稳定市场秩序，及时发放人员工资及社保，保障日常工作正常运转。</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指标1：特种设备巡查次数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尼勒克县市场监督管理局2024年度工作计划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指标2：药械监督检查次数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尼勒克县市场监督管理局2024年度工作计划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指标3：食品安全监督检查覆盖率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尼勒克县市场监督管理局2024年度工作计划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指标1：完成消费者投诉办结率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尼勒克县市场监督管理局2024年度工作计划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2024年单位自有资金（其他收入）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严格食品、药品、医疗器械、化妆品、质量、计量、特种设备等安全执法监管、深化放管服改革；加大市场监管，营造良好的营商环境；推进安全监管工作，确保稳定市场秩序；及时发放人员工资及社保，保障日常工作正常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严格食品、药品、医疗器械、化妆品、质量、计量、特种设备等安全执法监管、深化放管服改革；加大市场监管，营造良好的营商环境；推进安全监管工作，确保稳定市场秩序；截至2024年12月底，本项目已完成保障工作人员数量达到42人，保障业务用车数量达到8辆，资金支付准确率达到100%，公用经费支付及时率达到100%，项目实际支出5万元，通过项目的实施，保障日常工作正常运转。促进社会经济可持续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指标3：食品抽检批次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291批次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指标2：公务用车运行成本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指标1：提高市场监管行业水平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2024年食品药品监管补助（伊州财行【2023】34号）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尼勒克县市场监督局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0.30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1.不断加强和完善“两品一械”安全抽样检验工作；</w:t>
              <w:br/>
              <w:t>2.加强“两品一械”企业监管力度；</w:t>
              <w:br/>
              <w:t>3.加强化妆品备案人检查。</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该项目的实施保障开展药品安全宣传工作0.3万元，向广大群众宣传药品安全知识。共出动宣传人员22人次，发放宣传单300余份，接受群众咨询280余人次。累计出动执法车辆80余台次，人员156人次，检查药品生产企业1家次，药品零售企业188家次，医疗机构36家次，化妆品经营使用单位55余家次，受理各类举报投诉26件次。依托药品安全宣传站，深入推进药品安全进站点、进社区、进校园、进企业，通过设置药师合理用药咨询点、组织企业开展药械知识培训、药品安全知识网络答题、展示假劣药械等系列活动，充分利用条幅展板、电子大屏、发放宣传册、海报等媒介，展示药品、医疗器械、化妆品的监管成果，广泛发动，营造浓厚的宣传氛围，推进弘法良治宣传走深走实。</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指标1：重点药品抽检批次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3批次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指标1：药品生产企业检查覆盖率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指标2：不合格产品处置率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指标3：药品检查覆盖率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指标1：资金使用完成检查任务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指标1：“两品一械”总体安全水平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不断提高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不断提高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指标1：药品监管水平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长期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长期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