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尼勒克县妇幼保健计划生育服务中心（尼勒克县妇幼保健院）2024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（一）开展与妇女儿童健康密切相关的基本医疗服务（包括妇女儿童常见疾病诊治、jhsy技术服务、产前筛查、新生儿疾病筛查、助产技术服务、产前诊断、产科并发症处理、新生儿危重症抢救和治疗等）。</w:t>
      </w:r>
    </w:p>
    <w:p>
      <w:pPr>
        <w:spacing w:line="580" w:lineRule="exact"/>
        <w:ind w:firstLine="640"/>
        <w:jc w:val="both"/>
      </w:pPr>
      <w:r>
        <w:rPr>
          <w:rFonts w:ascii="仿宋_GB2312" w:hAnsi="仿宋_GB2312" w:eastAsia="仿宋_GB2312"/>
          <w:sz w:val="32"/>
        </w:rPr>
        <w:t>（二）开展辖区内妇幼保健健康教育与健康促进工作，组织实施辖区内母婴保健技术培训，对基层医疗保健机构开展业务指导，并提供技术支持。</w:t>
      </w:r>
    </w:p>
    <w:p>
      <w:pPr>
        <w:spacing w:line="580" w:lineRule="exact"/>
        <w:ind w:firstLine="640"/>
        <w:jc w:val="both"/>
      </w:pPr>
      <w:r>
        <w:rPr>
          <w:rFonts w:ascii="仿宋_GB2312" w:hAnsi="仿宋_GB2312" w:eastAsia="仿宋_GB2312"/>
          <w:sz w:val="32"/>
        </w:rPr>
        <w:t>（三）负责辖区内产妇死亡、婴儿及5岁以下儿童死亡、缺陷监测、妇幼卫生服务及技术管理信息的收集、统计、分析、质量控制和汇总上报等。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尼勒克县妇幼保健计划生育服务中心（尼勒克县妇幼保健院）2024年度，实有人数74人，其中：在职人员47人，增加0人；离休人员0人，增加0人；退休人员27人,增加2人。</w:t>
      </w:r>
    </w:p>
    <w:p>
      <w:pPr>
        <w:spacing w:line="580" w:lineRule="exact"/>
        <w:ind w:firstLine="640"/>
        <w:jc w:val="both"/>
      </w:pPr>
      <w:r>
        <w:rPr>
          <w:rFonts w:ascii="仿宋_GB2312" w:hAnsi="仿宋_GB2312" w:eastAsia="仿宋_GB2312"/>
          <w:sz w:val="32"/>
        </w:rPr>
        <w:t>尼勒克县妇幼保健计划生育服务中心（尼勒克县妇幼保健院）无下属预算单位，下设13个科室，分别是：B超室、妇产科、检验科、妇保科、儿保科、办公室、财务科、院感办、护理部、收费室、药房、中医科、医保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2024年度收入总计1,671.73万元，</w:t>
      </w:r>
      <w:r>
        <w:rPr>
          <w:rFonts w:ascii="仿宋_GB2312" w:hAnsi="仿宋_GB2312" w:eastAsia="仿宋_GB2312"/>
          <w:b w:val="0"/>
          <w:sz w:val="32"/>
        </w:rPr>
        <w:t>其中：本年收入合计1,671.73万元，使用非财政拨款结余（含专用结余）0.00万元，年初结转和结余0.00万元。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2024年度支出总计1,671.73万元，</w:t>
      </w:r>
      <w:r>
        <w:rPr>
          <w:rFonts w:ascii="仿宋_GB2312" w:hAnsi="仿宋_GB2312" w:eastAsia="仿宋_GB2312"/>
          <w:b w:val="0"/>
          <w:sz w:val="32"/>
        </w:rPr>
        <w:t>其中：本年支出合计1,630.13万元，结余分配41.60万元，年末结转和结余0.00万元。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减少270.35万元，下降13.92%，主要原因是：2024年医疗服务与保障能力提升项目收入支出较上年减少；2024年门诊、住院患者数量减少，导致医疗收入支出降低。</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本年收入1,671.73万元，</w:t>
      </w:r>
      <w:r>
        <w:rPr>
          <w:rFonts w:ascii="仿宋_GB2312" w:hAnsi="仿宋_GB2312" w:eastAsia="仿宋_GB2312"/>
          <w:b w:val="0"/>
          <w:sz w:val="32"/>
        </w:rPr>
        <w:t>其中：财政拨款收入977.68万元，占58.48%；上级补助收入0.00万元，占0.00%；事业收入693.94万元，占41.51%；经营收入0.00万元，占0.00%；附属单位上缴收入0.00万元，占0.00%；其他收入0.12万元，占0.007%。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本年支出1,630.13万元，</w:t>
      </w:r>
      <w:r>
        <w:rPr>
          <w:rFonts w:ascii="仿宋_GB2312" w:hAnsi="仿宋_GB2312" w:eastAsia="仿宋_GB2312"/>
          <w:b w:val="0"/>
          <w:sz w:val="32"/>
        </w:rPr>
        <w:t>其中：基本支出1,475.91万元，占90.54%；项目支出154.23万元，占9.46%；上缴上级支出0.00万元，占0.00%；经营支出0.00万元，占0.00%；对附属单位补助支出0.00万元，占0.00%。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2024年度财政拨款收入总计977.68万元，</w:t>
      </w:r>
      <w:r>
        <w:rPr>
          <w:rFonts w:ascii="仿宋_GB2312" w:hAnsi="仿宋_GB2312" w:eastAsia="仿宋_GB2312"/>
          <w:b w:val="0"/>
          <w:sz w:val="32"/>
        </w:rPr>
        <w:t>其中：年初财政拨款结转和结余0.00万元，本年财政拨款收入977.68万元。</w:t>
      </w:r>
      <w:r>
        <w:rPr>
          <w:rFonts w:ascii="仿宋_GB2312" w:hAnsi="仿宋_GB2312" w:eastAsia="仿宋_GB2312"/>
          <w:b/>
          <w:sz w:val="32"/>
        </w:rPr>
        <w:t>财政拨款支出总计977.68万元，</w:t>
      </w:r>
      <w:r>
        <w:rPr>
          <w:rFonts w:ascii="仿宋_GB2312" w:hAnsi="仿宋_GB2312" w:eastAsia="仿宋_GB2312"/>
          <w:b w:val="0"/>
          <w:sz w:val="32"/>
        </w:rPr>
        <w:t>其中：年末财政拨款结转和结余0.00万元，本年财政拨款支出977.68万元。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减少290.08万元，下降22.88%，主要原因是：2024年医疗服务与保障能力提升项目资金较上年减少。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年初预算数909.02万元，决算数977.68万元，预决算差异率7.55%，主要原因是：增加了2人退休人员职业年金，新增入编人员及调入人员经费，年中追加预算，导致预决算差异。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2024年度一般公共预算财政拨款支出963.68万元，</w:t>
      </w:r>
      <w:r>
        <w:rPr>
          <w:rFonts w:ascii="仿宋_GB2312" w:hAnsi="仿宋_GB2312" w:eastAsia="仿宋_GB2312"/>
          <w:b w:val="0"/>
          <w:sz w:val="32"/>
        </w:rPr>
        <w:t>占本年支出合计的59.12%。</w:t>
      </w:r>
      <w:r>
        <w:rPr>
          <w:rFonts w:ascii="仿宋_GB2312" w:hAnsi="仿宋_GB2312" w:eastAsia="仿宋_GB2312"/>
          <w:b/>
          <w:sz w:val="32"/>
        </w:rPr>
        <w:t>与上年相比，</w:t>
      </w:r>
      <w:r>
        <w:rPr>
          <w:rFonts w:ascii="仿宋_GB2312" w:hAnsi="仿宋_GB2312" w:eastAsia="仿宋_GB2312"/>
          <w:b w:val="0"/>
          <w:sz w:val="32"/>
        </w:rPr>
        <w:t>减少304.08万元，下降23.99%，主要原因是：2024年医疗服务与保障能力提升项目资金支出减少。</w:t>
      </w:r>
      <w:r>
        <w:rPr>
          <w:rFonts w:ascii="仿宋_GB2312" w:hAnsi="仿宋_GB2312" w:eastAsia="仿宋_GB2312"/>
          <w:b/>
          <w:sz w:val="32"/>
        </w:rPr>
        <w:t>与年初预算相比,</w:t>
      </w:r>
      <w:r>
        <w:rPr>
          <w:rFonts w:ascii="仿宋_GB2312" w:hAnsi="仿宋_GB2312" w:eastAsia="仿宋_GB2312"/>
          <w:b w:val="0"/>
          <w:sz w:val="32"/>
        </w:rPr>
        <w:t>年初预算数901.02万元，决算数963.68万元，预决算差异率6.95%，主要原因是：年中追加调整人员基本工资、住房公积金增加部分。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1.社会保障和就业支出(类)117.11万元,占12.15%。</w:t>
      </w:r>
    </w:p>
    <w:p>
      <w:pPr>
        <w:spacing w:line="580" w:lineRule="exact"/>
        <w:ind w:firstLine="640"/>
        <w:jc w:val="both"/>
      </w:pPr>
      <w:r>
        <w:rPr>
          <w:rFonts w:ascii="仿宋_GB2312" w:hAnsi="仿宋_GB2312" w:eastAsia="仿宋_GB2312"/>
          <w:b w:val="0"/>
          <w:sz w:val="32"/>
        </w:rPr>
        <w:t>2.卫生健康支出(类)784.82万元,占81.44%。</w:t>
      </w:r>
    </w:p>
    <w:p>
      <w:pPr>
        <w:spacing w:line="580" w:lineRule="exact"/>
        <w:ind w:firstLine="640"/>
        <w:jc w:val="both"/>
      </w:pPr>
      <w:r>
        <w:rPr>
          <w:rFonts w:ascii="仿宋_GB2312" w:hAnsi="仿宋_GB2312" w:eastAsia="仿宋_GB2312"/>
          <w:b w:val="0"/>
          <w:sz w:val="32"/>
        </w:rPr>
        <w:t>3.住房保障支出(类)61.74万元,占6.41%。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1.社会保障和就业支出(类)行政事业单位养老支出(款)事业单位离退休(项):支出决算数为19.22万元，比上年决算增加5.82万元，增长43.43%,主要原因是：本年增加2人退休人员，相关退休人员经费增加。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79.97万元，比上年决算增加6.66万元，增长9.08%,主要原因是：本年新增1人入编人员，养老保险缴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3.社会保障和就业支出(类)行政事业单位养老支出(款)机关事业单位职业年金缴费支出(项):支出决算数为17.92万元，比上年决算增加11.34万元，增长172.34%,主要原因是：本年新增1人入编人员，增加职业年金。</w:t>
      </w:r>
    </w:p>
    <w:p>
      <w:pPr>
        <w:spacing w:line="580" w:lineRule="exact"/>
        <w:ind w:firstLine="640"/>
        <w:jc w:val="both"/>
      </w:pPr>
      <w:r>
        <w:rPr>
          <w:rFonts w:ascii="仿宋_GB2312" w:hAnsi="仿宋_GB2312" w:eastAsia="仿宋_GB2312"/>
          <w:b w:val="0"/>
          <w:sz w:val="32"/>
        </w:rPr>
        <w:t>4.卫生健康支出(类)公立医院(款)妇幼保健医院(项):支出决算数为32.00万元，比上年决算增加32.00万元，增长100.00%,主要原因是：本年增加尼勒克县妇幼保健院门诊楼外墙项目资金。</w:t>
      </w:r>
    </w:p>
    <w:p>
      <w:pPr>
        <w:spacing w:line="580" w:lineRule="exact"/>
        <w:ind w:firstLine="640"/>
        <w:jc w:val="both"/>
      </w:pPr>
      <w:r>
        <w:rPr>
          <w:rFonts w:ascii="仿宋_GB2312" w:hAnsi="仿宋_GB2312" w:eastAsia="仿宋_GB2312"/>
          <w:b w:val="0"/>
          <w:sz w:val="32"/>
        </w:rPr>
        <w:t>5.卫生健康支出(类)公立医院(款)其他公立医院支出(项):支出决算数为40.00万元，比上年决算减少232.20万元，下降85.30%,主要原因是：2024年医疗服务保障能力提升项目资金减少。</w:t>
      </w:r>
    </w:p>
    <w:p>
      <w:pPr>
        <w:spacing w:line="580" w:lineRule="exact"/>
        <w:ind w:firstLine="640"/>
        <w:jc w:val="both"/>
      </w:pPr>
      <w:r>
        <w:rPr>
          <w:rFonts w:ascii="仿宋_GB2312" w:hAnsi="仿宋_GB2312" w:eastAsia="仿宋_GB2312"/>
          <w:b w:val="0"/>
          <w:sz w:val="32"/>
        </w:rPr>
        <w:t>6.卫生健康支出(类)公共卫生(款)妇幼保健机构(项):支出决算数为604.05万元，比上年决算减少126.17万元，下降17.28%,主要原因是：本年减少住院部建设项目专项债券经费。</w:t>
      </w:r>
    </w:p>
    <w:p>
      <w:pPr>
        <w:spacing w:line="580" w:lineRule="exact"/>
        <w:ind w:firstLine="640"/>
        <w:jc w:val="both"/>
      </w:pPr>
      <w:r>
        <w:rPr>
          <w:rFonts w:ascii="仿宋_GB2312" w:hAnsi="仿宋_GB2312" w:eastAsia="仿宋_GB2312"/>
          <w:b w:val="0"/>
          <w:sz w:val="32"/>
        </w:rPr>
        <w:t>7.卫生健康支出(类)公共卫生(款)基本公共卫生服务(项):支出决算数为46.74万元，比上年决算减少2.09万元，下降4.28%,主要原因是：本年基本公共卫生资金比上年减少。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8.卫生健康支出(类)公共卫生(款)重大公共卫生服务(项):支出决算数为13.33万元，比上年决算减少11.04万元，下降45.30%,主要原因是：本年重大公共卫生项目资金减少。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9.卫生健康支出(类)公共卫生(款)其他公共卫生支出(项):支出决算数为1.12万元，比上年决算减少0.67万元，下降37.43%,主要原因是：本年全民健康体检人数有所减少，全民健康体检项目资金减少。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10.卫生健康支出(类)计划生育事务(款)计划生育服务(项):支出决算数为7.04万元，比上年决算增加3.52万元，增长100.00%,主要原因是：本年JHSY补助资金增加。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11.卫生健康支出(类)行政事业单位医疗(款)事业单位医疗(项):支出决算数为40.54万元，比上年决算增加6.20万元，增长18.05%,主要原因是：本年在职人员增加，医疗保险缴费增加。</w:t>
      </w:r>
    </w:p>
    <w:p>
      <w:pPr>
        <w:spacing w:line="580" w:lineRule="exact"/>
        <w:ind w:firstLine="640"/>
        <w:jc w:val="both"/>
      </w:pPr>
      <w:r>
        <w:rPr>
          <w:rFonts w:ascii="仿宋_GB2312" w:hAnsi="仿宋_GB2312" w:eastAsia="仿宋_GB2312"/>
          <w:b w:val="0"/>
          <w:sz w:val="32"/>
        </w:rPr>
        <w:t>12.住房保障支出(类)住房改革支出(款)住房公积金(项):支出决算数为61.74万元，比上年决算增加2.54万元，增长4.29%,主要原因是：本年在职人员工资基数调增，住房公积金增加。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2024年度一般公共预算财政拨款基本支出823.45万元，其中：</w:t>
      </w:r>
      <w:r>
        <w:rPr>
          <w:rFonts w:ascii="仿宋_GB2312" w:hAnsi="仿宋_GB2312" w:eastAsia="仿宋_GB2312"/>
          <w:b/>
          <w:sz w:val="32"/>
        </w:rPr>
        <w:t>人员经费823.45万元，</w:t>
      </w:r>
      <w:r>
        <w:rPr>
          <w:rFonts w:ascii="仿宋_GB2312" w:hAnsi="仿宋_GB2312" w:eastAsia="仿宋_GB2312"/>
          <w:b w:val="0"/>
          <w:sz w:val="32"/>
        </w:rPr>
        <w:t>包括：基本工资、津贴补贴、奖金、绩效工资、机关事业单位基本养老保险缴费、职业年金缴费、职工基本医疗保险缴费、住房公积金、其他工资福利支出、退休费、生活补助。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2024年度政府性基金预算财政拨款收入总计14.00万元，</w:t>
      </w:r>
      <w:r>
        <w:rPr>
          <w:rFonts w:ascii="仿宋_GB2312" w:hAnsi="仿宋_GB2312" w:eastAsia="仿宋_GB2312"/>
          <w:b w:val="0"/>
          <w:sz w:val="32"/>
        </w:rPr>
        <w:t>其中：年初结转和结余0.00万元，本年收入14.00万元。</w:t>
      </w:r>
      <w:r>
        <w:rPr>
          <w:rFonts w:ascii="仿宋_GB2312" w:hAnsi="仿宋_GB2312" w:eastAsia="仿宋_GB2312"/>
          <w:b/>
          <w:sz w:val="32"/>
        </w:rPr>
        <w:t>政府性基金预算财政拨款支出总计14.00万元，</w:t>
      </w:r>
      <w:r>
        <w:rPr>
          <w:rFonts w:ascii="仿宋_GB2312" w:hAnsi="仿宋_GB2312" w:eastAsia="仿宋_GB2312"/>
          <w:b w:val="0"/>
          <w:sz w:val="32"/>
        </w:rPr>
        <w:t>其中：年末结转和结余0.00万元，本年支出14.00万元。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增加14.00万元，增长100.00%，主要原因是：本年增加护齿项目资金6万元，增加适龄妇女宫颈癌项目资金8万元。</w:t>
      </w:r>
      <w:r>
        <w:rPr>
          <w:rFonts w:ascii="仿宋_GB2312" w:hAnsi="仿宋_GB2312" w:eastAsia="仿宋_GB2312"/>
          <w:b/>
          <w:sz w:val="32"/>
        </w:rPr>
        <w:t>与年初预算相比，</w:t>
      </w:r>
      <w:r>
        <w:rPr>
          <w:rFonts w:ascii="仿宋_GB2312" w:hAnsi="仿宋_GB2312" w:eastAsia="仿宋_GB2312"/>
          <w:b w:val="0"/>
          <w:sz w:val="32"/>
        </w:rPr>
        <w:t>年初预算数8.00万元，决算数14.00万元，预决算差异率75.00%，主要原因是：年中增加护齿项目资金6万元，导致预决算存在差异。</w:t>
      </w:r>
    </w:p>
    <w:p>
      <w:pPr>
        <w:spacing w:line="580" w:lineRule="exact"/>
        <w:ind w:firstLine="640"/>
        <w:jc w:val="both"/>
      </w:pPr>
      <w:r>
        <w:rPr>
          <w:rFonts w:ascii="仿宋_GB2312" w:hAnsi="仿宋_GB2312" w:eastAsia="仿宋_GB2312"/>
          <w:b w:val="0"/>
          <w:sz w:val="32"/>
        </w:rPr>
        <w:t>政府性基金预算财政拨款支出14.00万元。</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14.00万元，比上年决算增加14.00万元，增长100.00%,主要原因是：本年增加护齿项目资金6万元，增加适龄妇女宫颈癌项目资金8万元。</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救护车4辆、公务用车1辆，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2024年度尼勒克县妇幼保健计划生育服务中心（尼勒克县妇幼保健院）（事业单位）公用经费支出0.00万元，比上年减少155.12万元，下降100.00%，主要原因是：严控经费支出，厉行节约，减少经费支出。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2024年度政府采购支出总额111.26万元，其中：政府采购货物支出61.76万元、政府采购工程支出49.50万元、政府采购服务支出0.00万元。</w:t>
      </w:r>
    </w:p>
    <w:p>
      <w:pPr>
        <w:spacing w:line="580" w:lineRule="exact"/>
        <w:ind w:firstLine="640"/>
        <w:jc w:val="both"/>
      </w:pPr>
      <w:r>
        <w:rPr>
          <w:rFonts w:ascii="仿宋_GB2312" w:hAnsi="仿宋_GB2312" w:eastAsia="仿宋_GB2312"/>
          <w:b w:val="0"/>
          <w:sz w:val="32"/>
        </w:rPr>
        <w:t>授予中小企业合同金额111.26万元，占政府采购支出总额的100.00%，其中：授予小微企业合同金额111.26万元，占政府采购支出总额的100.00%。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4,744.00平方米，价值957.41万元。车辆5辆，价值128.73万元，其中：副部（省）级及以上领导用车0辆、主要负责人用车0辆、机要通信用车0辆、应急保障用车0辆、执法执勤用车0辆、特种专业技术用车4辆、离退休干部服务用车0辆、其他用车1辆，其他用车主要是：我单位属于医疗系统，车辆是救护车，用于日常业务开展。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1,630.13万元，实际执行总额1,630.13万元；预算绩效评价项目6个，全年预算数764.37万元，全年执行数764.37万元。预算绩效管理取得的成效：一是逐步树立绩效理念。通过设定绩效目标，清楚地了解实施项目取得的社会效益和经济效益，其职能和目标得到了进一步明确，自我约束意识及责任意识明显提高。二是通过开展绩效评价，为项目单位找出项目管理中存在的问题及其原因，促使单位积极采取措施，加强项目的规划与科学论证，健全项目资金的核算与管理制度，提高管理水平和资金使用效益。发现的问题及原因：一是项目前期工作‬不全面‬，没有深入细致科学‬规划地做好各项前期工作实施目施实‬前期已根据项目建设内容设置‬绩效目标，但项目‬绩效目标及绩效指标设置过于笼统，不够细化，在实际实施绩效监控‬和绩效评价时较为困难。下一步改进措施：一是在以后年度，我单位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1,493.59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1,630.13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1,630.13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93.16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823.45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823.45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尼勒克县妇幼保健JHSY服务中心以深入实施母婴安全行动计划为抓手，持续推动母婴安全各项制度的落实，通过不断加强内部管理、提高服务质量，为全县妇女儿童提供安全有效、便捷温馨的妇幼健康服务，全力保障妇女儿童的生命安全。2、坚持保健与临床相结合，认真落实国家重大公共卫生服务项目，推进尼勒克县妇幼保健工作整体向前发展。3、加强临床专科建设，有效提升产科、儿科专科诊疗水平。4、提高服务本县育龄群众，孕产妇健康服务水平。完成2000名农村适龄妇女宫颈癌检查，做好孕妇产前门诊保健建档工作。5、加强医师培训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截至2024年12月底，本项目已完成孕妇产前门诊保健建档人数557人，适龄农村妇女宫颈癌检查人数2000人，医师培训次数达2次，进一步加强医疗卫生机构能力建设，更好推动公立医院综合改革。</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指标1：孕妇产前门诊保健建档人数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指标2：适龄农村妇女宫颈癌检查人数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指标3：医师培训次数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2024年自治区适龄妇女宫颈癌检查项目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治区适龄妇女宫颈癌检查项目资金用于完成35-64岁农村和低收入适龄宫颈癌检查人数2000人，有效提升全县妇女健康服务水平，宫颈癌防治知识知晓率不断提高，促进全县基层逐步建立制度化、规范化的宫颈癌防治长效机制。</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适龄妇女宫颈癌检查人数达到2000人，宫颈癌早期诊断率达到100%，宫颈癌项目检查及时率达到100%，异常病例随访管理率达到100%，项目实际支出8万元。通过该项目的实施，有效提升35-64岁妇女健康服务水平，公共卫生服务对象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指标1：适龄妇女宫颈癌检查人数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指标1：宫颈癌早期诊断率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指标1：宫颈癌项目检查及时率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指标2：异常病例随访管理率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指标1：宫颈癌检查人均支出标准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指标1:有效提升35-64岁妇女健康服务水平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指标1：公共卫生服务对象满意度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2024年中央专项彩票公益金支持地方社会公益事业发展（医疗救助）资金护齿项目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2024年中央专项彩票公益金支持地方社会公益事业发展（医疗救助）资金儿童护齿项目为降低我县儿童龋齿患病率，改善儿童口腔健康状况，培养儿童形成良好的口腔卫生习惯，营造良好的防治口腔疾病氛围。</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3-4岁儿童口腔局部涂氟人数达到2060人，全县3-4岁儿童局部用氟率达到85%，护齿项目资金支付及时率达到100%，项目执行时间2024年10月30日前，儿童检查人均支出30元/人，项目实际支出6万元。通过该项目的实施，有效提升3-4岁儿童龋齿发病率，儿童监护人对儿童口腔局部涂氟工作的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指标1：完成3-4岁儿童口腔局部涂氟人数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指标1：全县3-4岁儿童局部用氟率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指标1：护齿项目资金支付及时率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指标2：护齿项目执行时限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指标1：护齿项目检查儿童人均支出标准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指标1：有效提升3-4岁儿童龋齿发病率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指标1：儿童监护人对儿童口腔局部涂氟工作的满意度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2024年中央医疗服务与保障能力提升（公立医院综合改革）项目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伊犁州财政局社保科《关于提前下达2024年中央医疗服务与保障能力提升（公立医院综合改革)补助资金预算的通知》（伊州财社【2023】60号）文件要求，购买医疗设备和门诊楼改造，进一步加强医疗卫生机构能力建设，更好推动公立医院综合改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买医疗设备数量达到1台，修缮门诊楼工程量达到4000平方米，验收合格率达到100%，项目实际支出40万元，通过该项目的实施，提高就诊率，保障居民身体健康，提高病人就医环境。进一步加强医疗卫生机构能力建设，更好推动公立医院综合改革。</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指标1：购买医疗设备数量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指标2：修缮门诊楼工程量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指标1：医疗设备成本控制数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指标2：修缮门诊楼工程成本控制数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&lt;=0.005万元/平方米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0.005万元/平方米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指标1：提高就诊率，保障居民身体健康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指标2：提高病人就医环境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保障临聘人员数量达到66人以上，工资福利支出标准人均可控制在5.63万元/年；药品、耗材采购种类不低于405种，成本控制在0.46万元/种；购买固定资产数量不低于23台，成本控制在2.15万元/台；人员运转经费成本可控制在人均0.69万元；采购验收合格率达到100%，临聘人员工资及社保支付及时率达到100%，采购及时率达到100%，通过项目的实施，有效提升妇幼业务和医疗服务能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该项目计划保障临聘人员数量达到66人，药品、耗材采购种类405种；购买固定资产数量23台，人员运转经费成本可控制在人均0.69万元；采购验收合格率达100%，临聘人员工资及社保支付及时率达100%，采购及时率达100%，项目支出652.45万元，通过项目的实施，有效提升了妇幼业务和医疗服务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指标1：保障临聘人员工资福利数量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指标2：购买固定资产数量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指标3：购买药品和耗材种类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&gt;=405种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405种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指标1：临聘人员工资社保支付及时率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指标1：购买药品和耗材采购成本控制数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&lt;=0.46万元/种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0.46万元/种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指标2：购买固定资产成本控制数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&lt;=2.15万元/台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2.15万元/台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指标3：临聘人员工资福利支出标准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&lt;=5.63万元/年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&lt;=0.69万元/人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0.69万元/人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指标1：提升妇幼业务和医疗服务能力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乡镇卫生院妇幼专干工资</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各乡镇卫生院妇幼专干工资涉及12个乡镇卫生院，人数共计108人，每人月金额200元/人，共计发放总金额25.92万元。卫生院妇幼专干有效提升了妇女和儿童保健工作的落实，提高了服务质量，促进了妇女和儿童健康水平，确保相关服务的顺利进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各乡镇卫生院妇幼专干人数达到108人，卫生院妇幼专干乡镇数量达到13个，妇幼专干工作完成率达到100%，妇幼专干工资发放准确率达到100%，妇幼专干工资支付及时率达到100%，项目实际支出25.92万元。通过该项目的实施，有效提升各乡镇妇女儿童健康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指标1：各乡镇卫生院妇幼专干人数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指标2：卫生院妇幼专干乡镇数量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13个乡镇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指标1：妇幼专干工作完成率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指标2：妇幼专干工资发放准确率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截至2024年12月底，该项目由于个别卫生院报账不及时，导致资金支付较慢，故出现偏差。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指标1：妇幼专干工资支付及时率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截至2024年12月底，该项目由于个别卫生院报账不及时，导致资金支付较慢，故出现偏差。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指标1;妇幼专干人均工资支出标准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截至2024年12月底，该项目由于个别卫生院报账不及时，导致资金支付较慢，故出现偏差。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指标1：有效提升各乡镇妇女儿童健康水平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2024年中央医疗服务与保障能力提升（公立医院综合改革）补助资金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尼勒克县妇幼保健计划生育服务中心（尼勒克县妇幼保健院）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根据《关于下达2024年中央医疗服务与保障能力提升（公立医院综合改革）补助资金预算的通知》 伊州财社【2024】18号文件要求，对我院门诊楼进行外墙保温，修缮，对室内墙面进行装修，进一步加强医疗卫生机构能力建设，更好推动公立医院综合改革。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修缮门诊楼外墙1栋，宣传栏制作安装工程量25平方米，验收合格率达到100%，项目实际支出32万元，通过该项目的实施，提高就诊率，保障居民身体健康，提高病人就医环境。进一步加强医疗卫生机构能力建设，更好推动公立医院综合改革。</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指标1：修缮门诊楼外墙数量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指标2：宣传栏制作安装工程量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指标1：房屋外墙工程成本控制数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指标1：宣传栏制作成本控制数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&lt;=1560元/平方米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1560元/平方米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指标1：提高就诊率，保障居民身体健康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指标2：提高病人就医环境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