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尼勒克县喀拉苏乡九年制中心学校2024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（一）普及中小学义务教育，实施教育教学管理工作。</w:t>
      </w:r>
    </w:p>
    <w:p>
      <w:pPr>
        <w:spacing w:line="580" w:lineRule="exact"/>
        <w:ind w:firstLine="640"/>
        <w:jc w:val="both"/>
      </w:pPr>
      <w:r>
        <w:rPr>
          <w:rFonts w:ascii="仿宋_GB2312" w:hAnsi="仿宋_GB2312" w:eastAsia="仿宋_GB2312"/>
          <w:sz w:val="32"/>
        </w:rPr>
        <w:t>（二）贯彻执行党的教育方针政策，负责全校教学事务的贯彻、落实，指导和协调教务等各科室的教学及相关技术改造、建设等工作。</w:t>
      </w:r>
    </w:p>
    <w:p>
      <w:pPr>
        <w:spacing w:line="580" w:lineRule="exact"/>
        <w:ind w:firstLine="640"/>
        <w:jc w:val="both"/>
      </w:pPr>
      <w:r>
        <w:rPr>
          <w:rFonts w:ascii="仿宋_GB2312" w:hAnsi="仿宋_GB2312" w:eastAsia="仿宋_GB2312"/>
          <w:sz w:val="32"/>
        </w:rPr>
        <w:t>（三）严格按照《教学管理规范》要求和有关评估要求布置和解决处理日常教学事务。维护正常的教学秩序，杜绝各类教学事故的发生。</w:t>
      </w:r>
    </w:p>
    <w:p>
      <w:pPr>
        <w:spacing w:line="580" w:lineRule="exact"/>
        <w:ind w:firstLine="640"/>
        <w:jc w:val="both"/>
      </w:pPr>
      <w:r>
        <w:rPr>
          <w:rFonts w:ascii="仿宋_GB2312" w:hAnsi="仿宋_GB2312" w:eastAsia="仿宋_GB2312"/>
          <w:sz w:val="32"/>
        </w:rPr>
        <w:t>（四）执行国家颁布的《教育法》和《中小学德育大纲》，贯彻并执行党和国家关于加强和改进德育工作的各项方针、政策、法规和决定。</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尼勒克县喀拉苏乡九年制中心学校2024年度，实有人数221人，其中：在职人员166人，增加6人；离休人员0人，增加0人；退休人员55人,增加3人。</w:t>
      </w:r>
    </w:p>
    <w:p>
      <w:pPr>
        <w:spacing w:line="580" w:lineRule="exact"/>
        <w:ind w:firstLine="640"/>
        <w:jc w:val="both"/>
      </w:pPr>
      <w:r>
        <w:rPr>
          <w:rFonts w:ascii="仿宋_GB2312" w:hAnsi="仿宋_GB2312" w:eastAsia="仿宋_GB2312"/>
          <w:sz w:val="32"/>
        </w:rPr>
        <w:t>尼勒克县喀拉苏乡九年制中心学校无下属预算单位，下设4个科室，分别是：办公室、德育处、教务处、总务处。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2024年度收入总计3,603.87万元，</w:t>
      </w:r>
      <w:r>
        <w:rPr>
          <w:rFonts w:ascii="仿宋_GB2312" w:hAnsi="仿宋_GB2312" w:eastAsia="仿宋_GB2312"/>
          <w:b w:val="0"/>
          <w:sz w:val="32"/>
        </w:rPr>
        <w:t>其中：本年收入合计3,603.87万元，使用非财政拨款结余（含专用结余）0.00万元，年初结转和结余0.00万元。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2024年度支出总计3,603.87万元，</w:t>
      </w:r>
      <w:r>
        <w:rPr>
          <w:rFonts w:ascii="仿宋_GB2312" w:hAnsi="仿宋_GB2312" w:eastAsia="仿宋_GB2312"/>
          <w:b w:val="0"/>
          <w:sz w:val="32"/>
        </w:rPr>
        <w:t>其中：本年支出合计3,553.47万元，结余分配0.00万元，年末结转和结余50.40万元。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增加345.50万元，增长10.60%，主要原因是：1.本年在职人员增加，在职人员工资调增、社保、公积金基数调增，人员经费增加。2.增加2021年-2023年县配套学前伙食补助和学前保教费。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本年收入3,603.87万元，</w:t>
      </w:r>
      <w:r>
        <w:rPr>
          <w:rFonts w:ascii="仿宋_GB2312" w:hAnsi="仿宋_GB2312" w:eastAsia="仿宋_GB2312"/>
          <w:b w:val="0"/>
          <w:sz w:val="32"/>
        </w:rPr>
        <w:t>其中：财政拨款收入3,512.03万元，占97.45%；上级补助收入0.00万元，占0.00%；事业收入0.00万元，占0.00%；经营收入0.00万元，占0.00%；附属单位上缴收入0.00万元，占0.00%；其他收入91.84万元，占2.55%。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本年支出3,553.47万元，</w:t>
      </w:r>
      <w:r>
        <w:rPr>
          <w:rFonts w:ascii="仿宋_GB2312" w:hAnsi="仿宋_GB2312" w:eastAsia="仿宋_GB2312"/>
          <w:b w:val="0"/>
          <w:sz w:val="32"/>
        </w:rPr>
        <w:t>其中：基本支出3,553.47万元，占100.00%；项目支出0.00万元，占0.00%；上缴上级支出0.00万元，占0.00%；经营支出0.00万元，占0.00%；对附属单位补助支出0.00万元，占0.00%。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2024年度财政拨款收入总计3,512.03万元，</w:t>
      </w:r>
      <w:r>
        <w:rPr>
          <w:rFonts w:ascii="仿宋_GB2312" w:hAnsi="仿宋_GB2312" w:eastAsia="仿宋_GB2312"/>
          <w:b w:val="0"/>
          <w:sz w:val="32"/>
        </w:rPr>
        <w:t>其中：年初财政拨款结转和结余0.00万元，本年财政拨款收入3,512.03万元。</w:t>
      </w:r>
      <w:r>
        <w:rPr>
          <w:rFonts w:ascii="仿宋_GB2312" w:hAnsi="仿宋_GB2312" w:eastAsia="仿宋_GB2312"/>
          <w:b/>
          <w:sz w:val="32"/>
        </w:rPr>
        <w:t>财政拨款支出总计3,512.03万元，</w:t>
      </w:r>
      <w:r>
        <w:rPr>
          <w:rFonts w:ascii="仿宋_GB2312" w:hAnsi="仿宋_GB2312" w:eastAsia="仿宋_GB2312"/>
          <w:b w:val="0"/>
          <w:sz w:val="32"/>
        </w:rPr>
        <w:t>其中：年末财政拨款结转和结余0.00万元，本年财政拨款支出3,512.03万元。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增加281.75万元，增长8.72%，主要原因是：1.本年在职人员增加，在职人员工资调增、社保、公积金基数调增，人员经费增加。2.增加2021年-2023年县配套学前伙食补助和学前保教费。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年初预算数3,116.29万元，决算数3,512.03万元，预决算差异率12.70%，主要原因是：年中追加人员工资、社保、公积金基数调增部分资金，导致预决算存在差异。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2024年度一般公共预算财政拨款支出3,510.03万元，</w:t>
      </w:r>
      <w:r>
        <w:rPr>
          <w:rFonts w:ascii="仿宋_GB2312" w:hAnsi="仿宋_GB2312" w:eastAsia="仿宋_GB2312"/>
          <w:b w:val="0"/>
          <w:sz w:val="32"/>
        </w:rPr>
        <w:t>占本年支出合计的98.78%。</w:t>
      </w:r>
      <w:r>
        <w:rPr>
          <w:rFonts w:ascii="仿宋_GB2312" w:hAnsi="仿宋_GB2312" w:eastAsia="仿宋_GB2312"/>
          <w:b/>
          <w:sz w:val="32"/>
        </w:rPr>
        <w:t>与上年相比，</w:t>
      </w:r>
      <w:r>
        <w:rPr>
          <w:rFonts w:ascii="仿宋_GB2312" w:hAnsi="仿宋_GB2312" w:eastAsia="仿宋_GB2312"/>
          <w:b w:val="0"/>
          <w:sz w:val="32"/>
        </w:rPr>
        <w:t>增加280.75万元，增长8.69%，主要原因是：1.本年在职人员增加，在职人员工资调增、社保、公积金基数调增，人员经费增加。2.增加2021年-2023年县配套学前伙食补助和学前保教费。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年初预算数3,114.79万元，决算数3,510.03万元，预决算差异率12.69%，主要原因是：年中追加人员工资、社保、公积金基数调增部分资金，导致预决算存在差异。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1.教育支出(类)2,909.33万元,占82.89%。</w:t>
      </w:r>
    </w:p>
    <w:p>
      <w:pPr>
        <w:spacing w:line="580" w:lineRule="exact"/>
        <w:ind w:firstLine="640"/>
        <w:jc w:val="both"/>
      </w:pPr>
      <w:r>
        <w:rPr>
          <w:rFonts w:ascii="仿宋_GB2312" w:hAnsi="仿宋_GB2312" w:eastAsia="仿宋_GB2312"/>
          <w:b w:val="0"/>
          <w:sz w:val="32"/>
        </w:rPr>
        <w:t>2.社会保障和就业支出(类)295.92万元,占8.43%。</w:t>
      </w:r>
    </w:p>
    <w:p>
      <w:pPr>
        <w:spacing w:line="580" w:lineRule="exact"/>
        <w:ind w:firstLine="640"/>
        <w:jc w:val="both"/>
      </w:pPr>
      <w:r>
        <w:rPr>
          <w:rFonts w:ascii="仿宋_GB2312" w:hAnsi="仿宋_GB2312" w:eastAsia="仿宋_GB2312"/>
          <w:b w:val="0"/>
          <w:sz w:val="32"/>
        </w:rPr>
        <w:t>3.卫生健康支出(类)89.34万元,占2.55%。</w:t>
      </w:r>
    </w:p>
    <w:p>
      <w:pPr>
        <w:spacing w:line="580" w:lineRule="exact"/>
        <w:ind w:firstLine="640"/>
        <w:jc w:val="both"/>
      </w:pPr>
      <w:r>
        <w:rPr>
          <w:rFonts w:ascii="仿宋_GB2312" w:hAnsi="仿宋_GB2312" w:eastAsia="仿宋_GB2312"/>
          <w:b w:val="0"/>
          <w:sz w:val="32"/>
        </w:rPr>
        <w:t>4.住房保障支出(类)215.44万元,占6.14%。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1.教育支出(类)普通教育(款)学前教育(项):支出决算数为472.63万元，比上年决算增加98.86万元，增长26.45%,主要原因是：增加2021年-2023年县配套学前伙食补助和学前保教费。</w:t>
      </w:r>
    </w:p>
    <w:p>
      <w:pPr>
        <w:spacing w:line="580" w:lineRule="exact"/>
        <w:ind w:firstLine="640"/>
        <w:jc w:val="both"/>
      </w:pPr>
      <w:r>
        <w:rPr>
          <w:rFonts w:ascii="仿宋_GB2312" w:hAnsi="仿宋_GB2312" w:eastAsia="仿宋_GB2312"/>
          <w:b w:val="0"/>
          <w:sz w:val="32"/>
        </w:rPr>
        <w:t>2.教育支出(类)普通教育(款)小学教育(项):支出决算数为1,232.33万元，比上年决算增加53.71万元，增长4.56%,主要原因是：本年在职人考核工资，绩效工资，职称工资等增资，人员经费增加。</w:t>
      </w:r>
    </w:p>
    <w:p>
      <w:pPr>
        <w:spacing w:line="580" w:lineRule="exact"/>
        <w:ind w:firstLine="640"/>
        <w:jc w:val="both"/>
      </w:pPr>
      <w:r>
        <w:rPr>
          <w:rFonts w:ascii="仿宋_GB2312" w:hAnsi="仿宋_GB2312" w:eastAsia="仿宋_GB2312"/>
          <w:b w:val="0"/>
          <w:sz w:val="32"/>
        </w:rPr>
        <w:t>3.教育支出(类)普通教育(款)初中教育(项):支出决算数为1,204.37万元，比上年决算增加58.92万元，增长5.14%,主要原因是：本年在职人考核工资，绩效工资，职称工资等增资，人员经费增加。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4.社会保障和就业支出(类)行政事业单位养老支出(款)事业单位离退休(项):支出决算数为35.03万元，比上年决算增加10.61万元，增长43.45%,主要原因是：2024年增加退休人员基础性绩效奖，退休费增加。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221.65万元，比上年决算增加21.67万元，增长10.84%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27.88万元，比上年决算增加7.45万元，增长36.47%,主要原因是：本年退休人员较上年增加，导致机关事业单位职业年金缴费支出增加。</w:t>
      </w:r>
    </w:p>
    <w:p>
      <w:pPr>
        <w:spacing w:line="580" w:lineRule="exact"/>
        <w:ind w:firstLine="640"/>
        <w:jc w:val="both"/>
      </w:pPr>
      <w:r>
        <w:rPr>
          <w:rFonts w:ascii="仿宋_GB2312" w:hAnsi="仿宋_GB2312" w:eastAsia="仿宋_GB2312"/>
          <w:b w:val="0"/>
          <w:sz w:val="32"/>
        </w:rPr>
        <w:t>7.社会保障和就业支出(类)抚恤(款)死亡抚恤(项):支出决算数为11.36万元，比上年决算减少1.29万元，下降10.20%,主要原因是：本年新增死亡人员较上年减少，死亡抚恤支出较上年减少。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89.34万元，比上年决算减少21.23万元，下降19.20%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9.住房保障支出(类)住房改革支出(款)住房公积金(项):支出决算数为215.44万元，比上年决算增加52.08万元，增长31.88%,主要原因是：本年在职人员工资基数调增，住房公积金缴费基数上涨，相应支出增加。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2024年度一般公共预算财政拨款基本支出3,510.03万元，其中：</w:t>
      </w:r>
      <w:r>
        <w:rPr>
          <w:rFonts w:ascii="仿宋_GB2312" w:hAnsi="仿宋_GB2312" w:eastAsia="仿宋_GB2312"/>
          <w:b/>
          <w:sz w:val="32"/>
        </w:rPr>
        <w:t>人员经费3,236.50万元，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公用经费273.53万元，</w:t>
      </w:r>
      <w:r>
        <w:rPr>
          <w:rFonts w:ascii="仿宋_GB2312" w:hAnsi="仿宋_GB2312" w:eastAsia="仿宋_GB2312"/>
          <w:b w:val="0"/>
          <w:sz w:val="32"/>
        </w:rPr>
        <w:t>包括：办公费、印刷费、水费、电费、邮电费、取暖费、物业管理费、差旅费、维修（护）费、租赁费、培训费、专用材料费、其他交通费用、其他商品和服务支出、办公设备购置。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2024年度政府性基金预算财政拨款收入总计2.00万元，</w:t>
      </w:r>
      <w:r>
        <w:rPr>
          <w:rFonts w:ascii="仿宋_GB2312" w:hAnsi="仿宋_GB2312" w:eastAsia="仿宋_GB2312"/>
          <w:b w:val="0"/>
          <w:sz w:val="32"/>
        </w:rPr>
        <w:t>其中：年初结转和结余0.00万元，本年收入2.00万元。</w:t>
      </w:r>
      <w:r>
        <w:rPr>
          <w:rFonts w:ascii="仿宋_GB2312" w:hAnsi="仿宋_GB2312" w:eastAsia="仿宋_GB2312"/>
          <w:b/>
          <w:sz w:val="32"/>
        </w:rPr>
        <w:t>政府性基金预算财政拨款支出总计2.00万元，</w:t>
      </w:r>
      <w:r>
        <w:rPr>
          <w:rFonts w:ascii="仿宋_GB2312" w:hAnsi="仿宋_GB2312" w:eastAsia="仿宋_GB2312"/>
          <w:b w:val="0"/>
          <w:sz w:val="32"/>
        </w:rPr>
        <w:t>其中：年末结转和结余0.00万元，本年支出2.00万元。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增加1.00万元，增长100.00%，主要原因是：本年度支出以前年度中央彩票公益金资金，相应支出增加。</w:t>
      </w:r>
      <w:r>
        <w:rPr>
          <w:rFonts w:ascii="仿宋_GB2312" w:hAnsi="仿宋_GB2312" w:eastAsia="仿宋_GB2312"/>
          <w:b/>
          <w:sz w:val="32"/>
        </w:rPr>
        <w:t>与年初预算相比，</w:t>
      </w:r>
      <w:r>
        <w:rPr>
          <w:rFonts w:ascii="仿宋_GB2312" w:hAnsi="仿宋_GB2312" w:eastAsia="仿宋_GB2312"/>
          <w:b w:val="0"/>
          <w:sz w:val="32"/>
        </w:rPr>
        <w:t>年初预算数1.50万元，决算数2.00万元，预决算差异率33.33%，主要原因是：本年未全部使用少年宫经费，调减少年宫经费，导致预决算存在差异。</w:t>
      </w:r>
    </w:p>
    <w:p>
      <w:pPr>
        <w:spacing w:line="580" w:lineRule="exact"/>
        <w:ind w:firstLine="640"/>
        <w:jc w:val="both"/>
      </w:pPr>
      <w:r>
        <w:rPr>
          <w:rFonts w:ascii="仿宋_GB2312" w:hAnsi="仿宋_GB2312" w:eastAsia="仿宋_GB2312"/>
          <w:b w:val="0"/>
          <w:sz w:val="32"/>
        </w:rPr>
        <w:t>政府性基金预算财政拨款支出2.00万元。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1.其他支出(类)彩票公益金安排的支出(款)用于教育事业的彩票公益金支出(项):支出决算数为2.00万元，比上年决算增加1.00万元，增长100.00%,主要原因是：本年度支出以前年度中央彩票公益金资金，相应支出增加。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2024年度尼勒克县喀拉苏乡九年制中心学校（事业单位）公用经费支出275.53万元，比上年增加53.98万元，增长24.36%，主要原因是：我单位增加2021年-2023年学前保教费，故公用经费增加。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2024年度政府采购支出总额1.00万元，其中：政府采购货物支出1.00万元、政府采购工程支出0.00万元、政府采购服务支出0.00万元。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授予中小企业合同金额1.00万元，占政府采购支出总额的100.00%，其中：授予小微企业合同金额1.00万元，占政府采购支出总额的100.00%。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22,923.88平方米，价值1,357.98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3,553.47万元，实际执行总额3,553.47万元；预算绩效评价项目1个，全年预算数41.44万元，全年执行数41.44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尼勒克县喀拉苏乡九年制中心学校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3,246.29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3,553.47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3,553.47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343.22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433.23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433.23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2,773.07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3,078.80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3,078.80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1.抓好教学工作，提升教育教学质量。2.加强学生思想教育，开展德育工作。3.加强教师队伍建设。4加强法治教育和学校安全工作。5.抓好课外兴趣活动小组和社会实践活动。6.提高幼儿教学水平。</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义务教育阶段学生数达到1706人，开展安全常识教育次数达到4次，开展教研活动次数达到7次，开展德育工作达到8项，学生德育主题教育参与率达到98%。加强学生思想教育，开展德育工作，加强法治教育和学校安全工作，提高幼儿教学水平。</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指标1：义务教育阶段学生数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&gt;=1706人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指标2：开展安全常识教育次数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&gt;=7次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指标4：开展德育工作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指标1：学生德育主题教育参与率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尼勒克县喀拉苏乡九年制中心学校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尼勒克县喀拉苏乡九年制中心学校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课后托管服务人数达到112人，课后托管社团成果展示次数达到2次，托管服务学生人数达到1571人，托管学生覆盖率达到92%，项目实际支出达到41.44万元，通过项目的实施，提高学生课余时间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&gt;=1287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1571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保障运转水电等其他经费数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