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尼勒克县喀拉托别乡中心学校2024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的教育方针政策，负责全校教学事务的贯彻、落实，指导和协调教务系统各科室的教学及相关技术改造、建设等工作；起草学校工作计划、工作总结、报告、决议、通知、规章制度，审核以学校党政名义上报和下发的各类文件，及时完成文件宣传、落实的任务；深化教育教学改革，全面推进素质教育，促进教学质量提高，发展学生的综做好学校党的建设工作，按照干部管理权限，负责干部推荐工作，指导学校工会、少先队等群众组织工作，关心教职工的思想动态和文化生活，帮助教职工解决生活中的困难和问题。对发生重大事故的家庭及时慰问并家访，抓好学校精神文明建设；加强德育工作队伍建设，做好班主任培训工作，与工会、共青团组织密切配合，开展师德教育，提高教师职业道德水平，指导班主任制定工作计划，并制定考核、督导、检查、总结和交流经验。</w:t>
      </w:r>
    </w:p>
    <w:p>
      <w:pPr>
        <w:spacing w:line="580" w:lineRule="exact"/>
        <w:ind w:firstLine="640"/>
        <w:jc w:val="both"/>
      </w:pPr>
      <w:r>
        <w:rPr>
          <w:rFonts w:ascii="仿宋_GB2312" w:hAnsi="仿宋_GB2312" w:eastAsia="仿宋_GB2312"/>
          <w:sz w:val="32"/>
        </w:rPr>
        <w:t>2.全面落实学校安全工作责任制，层层签订学校安全工作责任书，把学校安全工作任务分解到各处室、部门和岗位，并负责检查、督导落实，制定学校设施设备安全管理工作规章制度，做好学校设备设施安全管理工作强化教育科学研究工作，开展教育教学研究；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尼勒克县喀拉托别乡中心学校2024年度，实有人数204人，其中：在职人员142人，减少7人；离休人员0人，增加0人；退休人员62人,增加0人。</w:t>
      </w:r>
    </w:p>
    <w:p>
      <w:pPr>
        <w:spacing w:line="580" w:lineRule="exact"/>
        <w:ind w:firstLine="640"/>
        <w:jc w:val="both"/>
      </w:pPr>
      <w:r>
        <w:rPr>
          <w:rFonts w:ascii="仿宋_GB2312" w:hAnsi="仿宋_GB2312" w:eastAsia="仿宋_GB2312"/>
          <w:sz w:val="32"/>
        </w:rPr>
        <w:t>尼勒克县喀拉托别乡中心学校无下属预算单位，下设1个科室，分别是：校长室，教务办公室，党建室，德育室，财务室，总务室。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2024年度收入总计3,206.91万元，</w:t>
      </w:r>
      <w:r>
        <w:rPr>
          <w:rFonts w:ascii="仿宋_GB2312" w:hAnsi="仿宋_GB2312" w:eastAsia="仿宋_GB2312"/>
          <w:b w:val="0"/>
          <w:sz w:val="32"/>
        </w:rPr>
        <w:t>其中：本年收入合计3,176.76万元，使用非财政拨款结余（含专用结余）0.00万元，年初结转和结余30.16万元。</w:t>
      </w:r>
    </w:p>
    <w:p>
      <w:pPr>
        <w:spacing w:line="580" w:lineRule="exact"/>
        <w:ind w:firstLine="640"/>
        <w:jc w:val="both"/>
      </w:pPr>
      <w:r>
        <w:rPr>
          <w:rFonts w:ascii="仿宋_GB2312" w:hAnsi="仿宋_GB2312" w:eastAsia="仿宋_GB2312"/>
          <w:b/>
          <w:sz w:val="32"/>
        </w:rPr>
        <w:t>2024年度支出总计3,206.91万元，</w:t>
      </w:r>
      <w:r>
        <w:rPr>
          <w:rFonts w:ascii="仿宋_GB2312" w:hAnsi="仿宋_GB2312" w:eastAsia="仿宋_GB2312"/>
          <w:b w:val="0"/>
          <w:sz w:val="32"/>
        </w:rPr>
        <w:t>其中：本年支出合计3,175.80万元，结余分配0.00万元，年末结转和结余31.11万元。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增加48.06万元，增长1.52%，主要原因是：本年度增加2021年-2023年县配套学前保教费及伙食费、在职人员工资调增、社保、公积金基数调增，人员经费增加。单位资金增加基本户利息收入，托管费。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本年收入3,176.76万元，</w:t>
      </w:r>
      <w:r>
        <w:rPr>
          <w:rFonts w:ascii="仿宋_GB2312" w:hAnsi="仿宋_GB2312" w:eastAsia="仿宋_GB2312"/>
          <w:b w:val="0"/>
          <w:sz w:val="32"/>
        </w:rPr>
        <w:t>其中：财政拨款收入3,099.80万元，占97.58%；上级补助收入0.00万元，占0.00%；事业收入0.00万元，占0.00%；经营收入0.00万元，占0.00%；附属单位上缴收入0.00万元，占0.00%；其他收入76.96万元，占2.42%。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本年支出3,175.80万元，</w:t>
      </w:r>
      <w:r>
        <w:rPr>
          <w:rFonts w:ascii="仿宋_GB2312" w:hAnsi="仿宋_GB2312" w:eastAsia="仿宋_GB2312"/>
          <w:b w:val="0"/>
          <w:sz w:val="32"/>
        </w:rPr>
        <w:t>其中：基本支出3,175.80万元，占100.00%；项目支出0.00万元，占0.00%；上缴上级支出0.00万元，占0.00%；经营支出0.00万元，占0.00%；对附属单位补助支出0.00万元，占0.00%。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2024年度财政拨款收入总计3,099.80万元，</w:t>
      </w:r>
      <w:r>
        <w:rPr>
          <w:rFonts w:ascii="仿宋_GB2312" w:hAnsi="仿宋_GB2312" w:eastAsia="仿宋_GB2312"/>
          <w:b w:val="0"/>
          <w:sz w:val="32"/>
        </w:rPr>
        <w:t>其中：年初财政拨款结转和结余0.00万元，本年财政拨款收入3,099.80万元。</w:t>
      </w:r>
      <w:r>
        <w:rPr>
          <w:rFonts w:ascii="仿宋_GB2312" w:hAnsi="仿宋_GB2312" w:eastAsia="仿宋_GB2312"/>
          <w:b/>
          <w:sz w:val="32"/>
        </w:rPr>
        <w:t>财政拨款支出总计3,099.80万元，</w:t>
      </w:r>
      <w:r>
        <w:rPr>
          <w:rFonts w:ascii="仿宋_GB2312" w:hAnsi="仿宋_GB2312" w:eastAsia="仿宋_GB2312"/>
          <w:b w:val="0"/>
          <w:sz w:val="32"/>
        </w:rPr>
        <w:t>其中：年末财政拨款结转和结余0.00万元，本年财政拨款支出3,099.80万元。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增加6.44万元，增长0.21%，主要原因是：本年度增加2021年-2023年县配套学前保教费及伙食费，在职人员工资调增、社保、公积金基数调增，人员经费增加。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2,957.04万元，决算数3,099.80万元，预决算差异率4.83%，主要原因是：本年度支付2021年-2023年县配套学前保教费及伙食费、公用经费标准增加。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2024年度一般公共预算财政拨款支出3,099.80万元，</w:t>
      </w:r>
      <w:r>
        <w:rPr>
          <w:rFonts w:ascii="仿宋_GB2312" w:hAnsi="仿宋_GB2312" w:eastAsia="仿宋_GB2312"/>
          <w:b w:val="0"/>
          <w:sz w:val="32"/>
        </w:rPr>
        <w:t>占本年支出合计的97.61%。</w:t>
      </w:r>
      <w:r>
        <w:rPr>
          <w:rFonts w:ascii="仿宋_GB2312" w:hAnsi="仿宋_GB2312" w:eastAsia="仿宋_GB2312"/>
          <w:b/>
          <w:sz w:val="32"/>
        </w:rPr>
        <w:t>与上年相比，</w:t>
      </w:r>
      <w:r>
        <w:rPr>
          <w:rFonts w:ascii="仿宋_GB2312" w:hAnsi="仿宋_GB2312" w:eastAsia="仿宋_GB2312"/>
          <w:b w:val="0"/>
          <w:sz w:val="32"/>
        </w:rPr>
        <w:t>增加7.44万元，增长0.24%，主要原因是：本年度增加2021年-2023年县配套学前保教费及伙食费、公用经费标准增加，在职人员工资调增、社保、公积金基数调增，人员经费增加。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2,954.04万元，决算数3,099.80万元，预决算差异率4.93%，主要原因是：本年度支付2021年-2023年县配套学前保教费及伙食费、公用经费标准增加，本年在职人员增加，在职人员工资调增、社保、公积金基数调增，人员经费增加。</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1.教育支出(类)2,506.67万元,占80.87%。</w:t>
      </w:r>
    </w:p>
    <w:p>
      <w:pPr>
        <w:spacing w:line="580" w:lineRule="exact"/>
        <w:ind w:firstLine="640"/>
        <w:jc w:val="both"/>
      </w:pPr>
      <w:r>
        <w:rPr>
          <w:rFonts w:ascii="仿宋_GB2312" w:hAnsi="仿宋_GB2312" w:eastAsia="仿宋_GB2312"/>
          <w:b w:val="0"/>
          <w:sz w:val="32"/>
        </w:rPr>
        <w:t>2.社会保障和就业支出(类)314.72万元,占10.15%。</w:t>
      </w:r>
    </w:p>
    <w:p>
      <w:pPr>
        <w:spacing w:line="580" w:lineRule="exact"/>
        <w:ind w:firstLine="640"/>
        <w:jc w:val="both"/>
      </w:pPr>
      <w:r>
        <w:rPr>
          <w:rFonts w:ascii="仿宋_GB2312" w:hAnsi="仿宋_GB2312" w:eastAsia="仿宋_GB2312"/>
          <w:b w:val="0"/>
          <w:sz w:val="32"/>
        </w:rPr>
        <w:t>3.卫生健康支出(类)83.41万元,占2.69%。</w:t>
      </w:r>
    </w:p>
    <w:p>
      <w:pPr>
        <w:spacing w:line="580" w:lineRule="exact"/>
        <w:ind w:firstLine="640"/>
        <w:jc w:val="both"/>
      </w:pPr>
      <w:r>
        <w:rPr>
          <w:rFonts w:ascii="仿宋_GB2312" w:hAnsi="仿宋_GB2312" w:eastAsia="仿宋_GB2312"/>
          <w:b w:val="0"/>
          <w:sz w:val="32"/>
        </w:rPr>
        <w:t>4.住房保障支出(类)195.00万元,占6.29%。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1.教育支出(类)普通教育(款)学前教育(项):支出决算数为489.70万元，比上年决算增加87.06万元，增长21.62%,主要原因是：本年度支付2021年-2023年县配套学前保教费及伙食费。</w:t>
      </w:r>
    </w:p>
    <w:p>
      <w:pPr>
        <w:spacing w:line="580" w:lineRule="exact"/>
        <w:ind w:firstLine="640"/>
        <w:jc w:val="both"/>
      </w:pPr>
      <w:r>
        <w:rPr>
          <w:rFonts w:ascii="仿宋_GB2312" w:hAnsi="仿宋_GB2312" w:eastAsia="仿宋_GB2312"/>
          <w:b w:val="0"/>
          <w:sz w:val="32"/>
        </w:rPr>
        <w:t>2.教育支出(类)普通教育(款)小学教育(项):支出决算数为1,300.84万元，比上年决算减少102.22万元，下降7.29%,主要原因是：本年度在职人员减少，相应人员经费减少。</w:t>
      </w:r>
    </w:p>
    <w:p>
      <w:pPr>
        <w:spacing w:line="580" w:lineRule="exact"/>
        <w:ind w:firstLine="640"/>
        <w:jc w:val="both"/>
      </w:pPr>
      <w:r>
        <w:rPr>
          <w:rFonts w:ascii="仿宋_GB2312" w:hAnsi="仿宋_GB2312" w:eastAsia="仿宋_GB2312"/>
          <w:b w:val="0"/>
          <w:sz w:val="32"/>
        </w:rPr>
        <w:t>3.教育支出(类)普通教育(款)初中教育(项):支出决算数为716.14万元，比上年决算减少3.92万元，下降0.54%,主要原因是：本年度在职人员减少，相应人员经费减少。</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43.96万元，比上年决算增加19.83万元，增长82.18%,主要原因是：本年度发放退休绩效，独生子女费，导致事业单位离退休支出增长，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206.93万元，比上年决算增加10.54万元，增长5.37%,主要原因是：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23.25万元，比上年决算减少9.95万元，下降29.97%,主要原因是：本年退休人员及去世人员较上年减少，导致机关事业单位职业年金缴费支出下降。</w:t>
      </w:r>
    </w:p>
    <w:p>
      <w:pPr>
        <w:spacing w:line="580" w:lineRule="exact"/>
        <w:ind w:firstLine="640"/>
        <w:jc w:val="both"/>
      </w:pPr>
      <w:r>
        <w:rPr>
          <w:rFonts w:ascii="仿宋_GB2312" w:hAnsi="仿宋_GB2312" w:eastAsia="仿宋_GB2312"/>
          <w:b w:val="0"/>
          <w:sz w:val="32"/>
        </w:rPr>
        <w:t>7.社会保障和就业支出(类)抚恤(款)死亡抚恤(项):支出决算数为40.58万元，比上年决算减少7.20万元，下降15.07%,主要原因是：本年度死亡人数减少，导致死亡抚恤金减少。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83.41万元，比上年决算减少22.63万元，下降21.34%,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9.住房保障支出(类)住房改革支出(款)住房公积金(项):支出决算数为195.00万元，比上年决算增加35.93万元，增长22.59%,主要原因是：人员工资基数调增，公积金缴费基数上涨，经费增加。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2024年度一般公共预算财政拨款基本支出3,099.80万元，其中：</w:t>
      </w:r>
      <w:r>
        <w:rPr>
          <w:rFonts w:ascii="仿宋_GB2312" w:hAnsi="仿宋_GB2312" w:eastAsia="仿宋_GB2312"/>
          <w:b/>
          <w:sz w:val="32"/>
        </w:rPr>
        <w:t>人员经费2,874.83万元，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公用经费224.96万元，</w:t>
      </w:r>
      <w:r>
        <w:rPr>
          <w:rFonts w:ascii="仿宋_GB2312" w:hAnsi="仿宋_GB2312" w:eastAsia="仿宋_GB2312"/>
          <w:b w:val="0"/>
          <w:sz w:val="32"/>
        </w:rPr>
        <w:t>包括：办公费、印刷费、水费、电费、邮电费、取暖费、物业管理费、差旅费、维修（护）费、培训费、专用材料费、其他交通费用、办公设备购置。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减少1.00万元，下降100.00%，主要原因是：本年度未发生政府性基金预算财政拨款支出。</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年初预算数3.00万元，决算数0.00万元，预决算差异率-100.00%，主要原因是：本年度未发生政府性基金预算财政拨款支出。</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1.其他支出(类)彩票公益金安排的支出(款)用于教育事业的彩票公益金支出(项):支出决算数为0.00万元，比上年决算减少1.00万元，下降100.00%,主要原因是：本年度未发生政府性基金预算财政拨款支出。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托别乡中心学校（事业单位）公用经费支出224.96万元，比上年增加53.45万元，增长31.16%，主要原因是：1.本年更新、维护补充办公用品，导致公用经费较上年增加。2.本年业务量增加，公用经费增加。3.2021-2023年度保教费县配套部分在本年度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22,293.27平方米，价值1,598.48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3,175.80万元，实际执行总额3,175.80万元；预算绩效评价项目1个，全年预算数76.01万元，全年执行数76.01万元。预算绩效管理取得的成效：一是截至2024年12月底，本单位已完成义务教育阶段招生人数达到1376人，学前学生招生人数达到244人，开展教研、教学活动次数达到10次，开展安全常识教育次数达到10次，开展“三进两连一交友”活动次数达到10次，学生参加社团活动达到10次，升学率达到95%。全面提高教师的综合教育能力，营造和丰富校园文化，促进教师、学生的共同发展，努力把我校的教育教学工作推向一个新的台阶，提升学校的办学品位。二是截至2024年12月底，本单位已完课后托管服务人数达到87人，课后托管社团成果展示次数达到2次，托管服务学生人数达到1366人，托管学生覆盖率达到96.52%，教师托管费发放金额达到72.21万元，保障运转经费数达到3.8万元，通过项目的实施，提高了学生课余时间利用率达到。发现的问题及原因：一是教学方法传统守旧以老师讲授为主，学生课堂互动参与度低；二是活动主题不新颖，缺乏吸引力，形式单一；三是家校合作深度不够，家长参与学校事务主要集中在家长会，参与学校组织的课外实践，教学研讨不足10%。下一步改进措施：一是开展系统性培训课程，二是开展跨学科融合活动，三是举办家长开放日。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3,121.37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3,175.80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3,175.80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257.06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333.93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333.93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2,664.31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2,765.86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2,765.86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务处以学校工作目标和教育教学工作计划为指导，以实施课程改革为重点，以提高教学质量为中心任务，加强教学成规管理和课堂教学的研究，全面提高教师的综合教育能力，营造和丰富校园文化，促进教师、学生的共同发展，努力把我校的教育教学工作推向一个新的台阶，提升学校的办学品位。抓好教学工作，提升教育教学质量，加强学生思想教育，开展德育工作，加强教师队伍建设，加强法治教育和学校安全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阶段招生人数达到1376人，学前学生招生人数达到244人，开展教研、教学活动次数达到10次，开展安全常识教育次数达到10次，开展“三进两连一交友”活动次数达到10次，学生参加社团活动达到10次，升学率达到95%。全面提高教师的综合教育能力，营造和丰富校园文化，促进教师、学生的共同发展，努力把我校的教育教学工作推向一个新的台阶，提升学校的办学品位。</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指标1：义务教育阶段招生人数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&gt;=1376人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1376人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指标2：学前学生招生人数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&gt;=244人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学校教务处计划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指标4：开展安全常识教育次数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指标5：开展“三进两连一交友”活动次数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学校德育处计划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指标6：学生参加社团活动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学生参加社团活动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质量目标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指标1：升学率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尼勒克县喀拉托别乡中心学校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76.01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br/>
              <w:t>保障学生正常托管，减轻家长看管负担，促进学生健康成长。提高教师工作积极性及幸福感。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87人，课后托管社团成果展示次数达到2次，托管服务学生人数达到1366人，托管学生覆盖率达到96.52%，教师托管费发放金额达到72.21万元，保障运转经费数达到3.8万元，通过项目的实施，提高了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指标2：课后托管成果展示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指标3：课后托管服务学生人数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1366人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96.52%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&lt;=72.21万元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指标3：保证运转水电费等经费书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