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尼勒克县唐布拉旅游风景区管理委员会2024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1、依据相关法律法规，负责管理旅游风景区内的旅游资源；负责景区的规划、开发、建设工作；负责景区的生态环境保护；在景区范围内实施旅游行业管理。</w:t>
      </w:r>
    </w:p>
    <w:p>
      <w:pPr>
        <w:spacing w:line="580" w:lineRule="exact"/>
        <w:ind w:firstLine="640"/>
        <w:jc w:val="both"/>
      </w:pPr>
      <w:r>
        <w:rPr>
          <w:rFonts w:ascii="仿宋_GB2312" w:hAnsi="仿宋_GB2312" w:eastAsia="仿宋_GB2312"/>
          <w:sz w:val="32"/>
        </w:rPr>
        <w:t>2、依据相关法律法规，对景区内的经营企业进行行业管理，协调区域内农牧民与经营企业的关系，营造一个良好的经营环境，保护农牧民的利益。</w:t>
      </w:r>
    </w:p>
    <w:p>
      <w:pPr>
        <w:spacing w:line="580" w:lineRule="exact"/>
        <w:ind w:firstLine="640"/>
        <w:jc w:val="both"/>
      </w:pPr>
      <w:r>
        <w:rPr>
          <w:rFonts w:ascii="仿宋_GB2312" w:hAnsi="仿宋_GB2312" w:eastAsia="仿宋_GB2312"/>
          <w:sz w:val="32"/>
        </w:rPr>
        <w:t>3、负责维护，管理景区基础设施，推动景区旅游事业的发展。依据相关法律法规，对景区内的消防、治安进行管理。</w:t>
      </w:r>
    </w:p>
    <w:p>
      <w:pPr>
        <w:spacing w:line="580" w:lineRule="exact"/>
        <w:ind w:firstLine="640"/>
        <w:jc w:val="both"/>
      </w:pPr>
      <w:r>
        <w:rPr>
          <w:rFonts w:ascii="仿宋_GB2312" w:hAnsi="仿宋_GB2312" w:eastAsia="仿宋_GB2312"/>
          <w:sz w:val="32"/>
        </w:rPr>
        <w:t>4、完成县委、县人民政府交办的其他工作。</w:t>
      </w:r>
    </w:p>
    <w:p>
      <w:pPr>
        <w:spacing w:line="580" w:lineRule="exact"/>
        <w:ind w:firstLine="640"/>
        <w:jc w:val="both"/>
      </w:pPr>
      <w:r>
        <w:rPr>
          <w:rFonts w:ascii="仿宋_GB2312" w:hAnsi="仿宋_GB2312" w:eastAsia="仿宋_GB2312"/>
          <w:sz w:val="32"/>
        </w:rPr>
        <w:t>5、贯彻执行国家、自治区及州旅游行政法律法规、方针、政策，管理县域境内的旅游资源、旅游企业，充分发挥政府旅游职能。</w:t>
      </w:r>
    </w:p>
    <w:p>
      <w:pPr>
        <w:spacing w:line="580" w:lineRule="exact"/>
        <w:ind w:firstLine="640"/>
        <w:jc w:val="both"/>
      </w:pPr>
      <w:r>
        <w:rPr>
          <w:rFonts w:ascii="仿宋_GB2312" w:hAnsi="仿宋_GB2312" w:eastAsia="仿宋_GB2312"/>
          <w:sz w:val="32"/>
        </w:rPr>
        <w:t>6、制定尼勒克县旅游业发展的战略目标；编制全县旅游事业的中长期发展规划和年度计划并组织实施。</w:t>
      </w:r>
    </w:p>
    <w:p>
      <w:pPr>
        <w:spacing w:line="580" w:lineRule="exact"/>
        <w:ind w:firstLine="640"/>
        <w:jc w:val="both"/>
      </w:pPr>
      <w:r>
        <w:rPr>
          <w:rFonts w:ascii="仿宋_GB2312" w:hAnsi="仿宋_GB2312" w:eastAsia="仿宋_GB2312"/>
          <w:sz w:val="32"/>
        </w:rPr>
        <w:t>7、深化旅游体制改革，协同有关部门培育和完善旅游市场，扩大旅游业的对外开放，落实旅游企业的经营自主权。</w:t>
      </w:r>
    </w:p>
    <w:p>
      <w:pPr>
        <w:spacing w:line="580" w:lineRule="exact"/>
        <w:ind w:firstLine="640"/>
        <w:jc w:val="both"/>
      </w:pPr>
      <w:r>
        <w:rPr>
          <w:rFonts w:ascii="仿宋_GB2312" w:hAnsi="仿宋_GB2312" w:eastAsia="仿宋_GB2312"/>
          <w:sz w:val="32"/>
        </w:rPr>
        <w:t>8、促进和引导旅游业利用外资和社会投资工作，负责全县旅游资源的普查、协调、开发利用和保护工作；负责上级下达的旅游事业发展投资立项，重点旅游建设项目实施宏观指导和检查。</w:t>
      </w:r>
    </w:p>
    <w:p>
      <w:pPr>
        <w:spacing w:line="580" w:lineRule="exact"/>
        <w:ind w:firstLine="640"/>
        <w:jc w:val="both"/>
      </w:pPr>
      <w:r>
        <w:rPr>
          <w:rFonts w:ascii="仿宋_GB2312" w:hAnsi="仿宋_GB2312" w:eastAsia="仿宋_GB2312"/>
          <w:sz w:val="32"/>
        </w:rPr>
        <w:t>9、负责组织尼勒克县旅游整体形象的宣传活动。</w:t>
      </w:r>
    </w:p>
    <w:p>
      <w:pPr>
        <w:spacing w:line="580" w:lineRule="exact"/>
        <w:ind w:firstLine="640"/>
        <w:jc w:val="both"/>
      </w:pPr>
      <w:r>
        <w:rPr>
          <w:rFonts w:ascii="仿宋_GB2312" w:hAnsi="仿宋_GB2312" w:eastAsia="仿宋_GB2312"/>
          <w:sz w:val="32"/>
        </w:rPr>
        <w:t>10、对全县从事旅游业务的企业进行行业管理和业务监督指导、归口审核报批旅游业务的旅行社、旅游公司，选定旅游宾馆并对其进行行业管理。</w:t>
      </w:r>
    </w:p>
    <w:p>
      <w:pPr>
        <w:spacing w:line="580" w:lineRule="exact"/>
        <w:ind w:firstLine="640"/>
        <w:jc w:val="both"/>
      </w:pPr>
      <w:r>
        <w:rPr>
          <w:rFonts w:ascii="仿宋_GB2312" w:hAnsi="仿宋_GB2312" w:eastAsia="仿宋_GB2312"/>
          <w:sz w:val="32"/>
        </w:rPr>
        <w:t>11、会同有关部门协调旅游安全、娱乐等工作，加大整个景区的执法力度。</w:t>
      </w:r>
    </w:p>
    <w:p>
      <w:pPr>
        <w:spacing w:line="580" w:lineRule="exact"/>
        <w:ind w:firstLine="640"/>
        <w:jc w:val="both"/>
      </w:pPr>
      <w:r>
        <w:rPr>
          <w:rFonts w:ascii="仿宋_GB2312" w:hAnsi="仿宋_GB2312" w:eastAsia="仿宋_GB2312"/>
          <w:sz w:val="32"/>
        </w:rPr>
        <w:t>12、监督、检查旅游服务质量，受理旅游者的投诉，维护旅游者合法权益。</w:t>
      </w:r>
    </w:p>
    <w:p>
      <w:pPr>
        <w:spacing w:line="580" w:lineRule="exact"/>
        <w:ind w:firstLine="640"/>
        <w:jc w:val="both"/>
      </w:pPr>
      <w:r>
        <w:rPr>
          <w:rFonts w:ascii="仿宋_GB2312" w:hAnsi="仿宋_GB2312" w:eastAsia="仿宋_GB2312"/>
          <w:sz w:val="32"/>
        </w:rPr>
        <w:t>13、协助有关部门做好全县宾馆、饭店、景区（点）从业人员的培训工作。</w:t>
      </w:r>
    </w:p>
    <w:p>
      <w:pPr>
        <w:spacing w:line="580" w:lineRule="exact"/>
        <w:ind w:firstLine="640"/>
        <w:jc w:val="both"/>
      </w:pPr>
      <w:r>
        <w:rPr>
          <w:rFonts w:ascii="仿宋_GB2312" w:hAnsi="仿宋_GB2312" w:eastAsia="仿宋_GB2312"/>
          <w:sz w:val="32"/>
        </w:rPr>
        <w:t>14、承办县人民政府交办的其他事项唐布拉景区管委会自成立之日起与旅游局进行合署办公，实行一套班子两套人马的机制。</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尼勒克县唐布拉旅游风景区管理委员会2024年度，实有人数14人，其中：在职人员9人，增加0人；离休人员0人，增加0人；退休人员5人,增加0人。</w:t>
      </w:r>
    </w:p>
    <w:p>
      <w:pPr>
        <w:spacing w:line="580" w:lineRule="exact"/>
        <w:ind w:firstLine="640"/>
        <w:jc w:val="both"/>
      </w:pPr>
      <w:r>
        <w:rPr>
          <w:rFonts w:ascii="仿宋_GB2312" w:hAnsi="仿宋_GB2312" w:eastAsia="仿宋_GB2312"/>
          <w:sz w:val="32"/>
        </w:rPr>
        <w:t>尼勒克县唐布拉旅游风景区管理委员会无下属预算单位，下设4个科室，分别是：综合协调科、资源管理科、规划科、安全生产科。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2024年度收入总计943.06万元，</w:t>
      </w:r>
      <w:r>
        <w:rPr>
          <w:rFonts w:ascii="仿宋_GB2312" w:hAnsi="仿宋_GB2312" w:eastAsia="仿宋_GB2312"/>
          <w:b w:val="0"/>
          <w:sz w:val="32"/>
        </w:rPr>
        <w:t>其中：本年收入合计934.19万元，使用非财政拨款结余（含专用结余）0.00万元，年初结转和结余8.87万元。</w:t>
      </w:r>
    </w:p>
    <w:p>
      <w:pPr>
        <w:spacing w:line="580" w:lineRule="exact"/>
        <w:ind w:firstLine="640"/>
        <w:jc w:val="both"/>
      </w:pPr>
      <w:r>
        <w:rPr>
          <w:rFonts w:ascii="仿宋_GB2312" w:hAnsi="仿宋_GB2312" w:eastAsia="仿宋_GB2312"/>
          <w:b/>
          <w:sz w:val="32"/>
        </w:rPr>
        <w:t>2024年度支出总计943.06万元，</w:t>
      </w:r>
      <w:r>
        <w:rPr>
          <w:rFonts w:ascii="仿宋_GB2312" w:hAnsi="仿宋_GB2312" w:eastAsia="仿宋_GB2312"/>
          <w:b w:val="0"/>
          <w:sz w:val="32"/>
        </w:rPr>
        <w:t>其中：本年支出合计931.85万元，结余分配0.00万元，年末结转和结余11.21万元。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增加609.74万元，增长182.93%，主要原因是：本年度增加孟克特古道修路项目。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本年收入934.19万元，</w:t>
      </w:r>
      <w:r>
        <w:rPr>
          <w:rFonts w:ascii="仿宋_GB2312" w:hAnsi="仿宋_GB2312" w:eastAsia="仿宋_GB2312"/>
          <w:b w:val="0"/>
          <w:sz w:val="32"/>
        </w:rPr>
        <w:t>其中：财政拨款收入920.19万元，占98.50%；上级补助收入0.00万元，占0.00%；事业收入0.00万元，占0.00%；经营收入0.00万元，占0.00%；附属单位上缴收入0.00万元，占0.00%；其他收入14.00万元，占1.50%。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本年支出931.85万元，</w:t>
      </w:r>
      <w:r>
        <w:rPr>
          <w:rFonts w:ascii="仿宋_GB2312" w:hAnsi="仿宋_GB2312" w:eastAsia="仿宋_GB2312"/>
          <w:b w:val="0"/>
          <w:sz w:val="32"/>
        </w:rPr>
        <w:t>其中：基本支出171.58万元，占18.41%；项目支出760.27万元，占81.59%；上缴上级支出0.00万元，占0.00%；经营支出0.00万元，占0.00%；对附属单位补助支出0.00万元，占0.00%。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2024年度财政拨款收入总计920.19万元，</w:t>
      </w:r>
      <w:r>
        <w:rPr>
          <w:rFonts w:ascii="仿宋_GB2312" w:hAnsi="仿宋_GB2312" w:eastAsia="仿宋_GB2312"/>
          <w:b w:val="0"/>
          <w:sz w:val="32"/>
        </w:rPr>
        <w:t>其中：年初财政拨款结转和结余0.00万元，本年财政拨款收入920.19万元。</w:t>
      </w:r>
      <w:r>
        <w:rPr>
          <w:rFonts w:ascii="仿宋_GB2312" w:hAnsi="仿宋_GB2312" w:eastAsia="仿宋_GB2312"/>
          <w:b/>
          <w:sz w:val="32"/>
        </w:rPr>
        <w:t>财政拨款支出总计920.19万元，</w:t>
      </w:r>
      <w:r>
        <w:rPr>
          <w:rFonts w:ascii="仿宋_GB2312" w:hAnsi="仿宋_GB2312" w:eastAsia="仿宋_GB2312"/>
          <w:b w:val="0"/>
          <w:sz w:val="32"/>
        </w:rPr>
        <w:t>其中：年末财政拨款结转和结余0.00万元，本年财政拨款支出920.19万元。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增加607.19万元，增长193.99%，主要原因是：本年度增加孟克特古道修路项目。</w:t>
      </w:r>
      <w:r>
        <w:rPr>
          <w:rFonts w:ascii="仿宋_GB2312" w:hAnsi="仿宋_GB2312" w:eastAsia="仿宋_GB2312"/>
          <w:b/>
          <w:sz w:val="32"/>
        </w:rPr>
        <w:t>与年初预算相比，</w:t>
      </w:r>
      <w:r>
        <w:rPr>
          <w:rFonts w:ascii="仿宋_GB2312" w:hAnsi="仿宋_GB2312" w:eastAsia="仿宋_GB2312"/>
          <w:b w:val="0"/>
          <w:sz w:val="32"/>
        </w:rPr>
        <w:t>年初预算数942.64万元，决算数920.19万元，预决算差异率-2.38%，主要原因是：年中调减孟克特古道项目经费，导致预决算存在差异。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2024年度一般公共预算财政拨款支出920.19万元，</w:t>
      </w:r>
      <w:r>
        <w:rPr>
          <w:rFonts w:ascii="仿宋_GB2312" w:hAnsi="仿宋_GB2312" w:eastAsia="仿宋_GB2312"/>
          <w:b w:val="0"/>
          <w:sz w:val="32"/>
        </w:rPr>
        <w:t>占本年支出合计的98.75%。</w:t>
      </w:r>
      <w:r>
        <w:rPr>
          <w:rFonts w:ascii="仿宋_GB2312" w:hAnsi="仿宋_GB2312" w:eastAsia="仿宋_GB2312"/>
          <w:b/>
          <w:sz w:val="32"/>
        </w:rPr>
        <w:t>与上年相比，</w:t>
      </w:r>
      <w:r>
        <w:rPr>
          <w:rFonts w:ascii="仿宋_GB2312" w:hAnsi="仿宋_GB2312" w:eastAsia="仿宋_GB2312"/>
          <w:b w:val="0"/>
          <w:sz w:val="32"/>
        </w:rPr>
        <w:t>增加607.19万元，增长193.99%，主要原因是：本年度增加孟克特古道修路项目。</w:t>
      </w:r>
      <w:r>
        <w:rPr>
          <w:rFonts w:ascii="仿宋_GB2312" w:hAnsi="仿宋_GB2312" w:eastAsia="仿宋_GB2312"/>
          <w:b/>
          <w:sz w:val="32"/>
        </w:rPr>
        <w:t>与年初预算相比,</w:t>
      </w:r>
      <w:r>
        <w:rPr>
          <w:rFonts w:ascii="仿宋_GB2312" w:hAnsi="仿宋_GB2312" w:eastAsia="仿宋_GB2312"/>
          <w:b w:val="0"/>
          <w:sz w:val="32"/>
        </w:rPr>
        <w:t>年初预算数942.64万元，决算数920.19万元，预决算差异率-2.38%，主要原因是：年中调减孟克特古道项目经费，导致预决算存在差异。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1.文化旅游体育与传媒支出(类)143.30万元,占15.57%。</w:t>
      </w:r>
    </w:p>
    <w:p>
      <w:pPr>
        <w:spacing w:line="580" w:lineRule="exact"/>
        <w:ind w:firstLine="640"/>
        <w:jc w:val="both"/>
      </w:pPr>
      <w:r>
        <w:rPr>
          <w:rFonts w:ascii="仿宋_GB2312" w:hAnsi="仿宋_GB2312" w:eastAsia="仿宋_GB2312"/>
          <w:b w:val="0"/>
          <w:sz w:val="32"/>
        </w:rPr>
        <w:t>2.社会保障和就业支出(类)19.84万元,占2.16%。</w:t>
      </w:r>
    </w:p>
    <w:p>
      <w:pPr>
        <w:spacing w:line="580" w:lineRule="exact"/>
        <w:ind w:firstLine="640"/>
        <w:jc w:val="both"/>
      </w:pPr>
      <w:r>
        <w:rPr>
          <w:rFonts w:ascii="仿宋_GB2312" w:hAnsi="仿宋_GB2312" w:eastAsia="仿宋_GB2312"/>
          <w:b w:val="0"/>
          <w:sz w:val="32"/>
        </w:rPr>
        <w:t>3.卫生健康支出(类)8.06万元,占0.88%。</w:t>
      </w:r>
    </w:p>
    <w:p>
      <w:pPr>
        <w:spacing w:line="580" w:lineRule="exact"/>
        <w:ind w:firstLine="640"/>
        <w:jc w:val="both"/>
      </w:pPr>
      <w:r>
        <w:rPr>
          <w:rFonts w:ascii="仿宋_GB2312" w:hAnsi="仿宋_GB2312" w:eastAsia="仿宋_GB2312"/>
          <w:b w:val="0"/>
          <w:sz w:val="32"/>
        </w:rPr>
        <w:t>4.农林水支出(类)736.51万元,占80.04%。</w:t>
      </w:r>
    </w:p>
    <w:p>
      <w:pPr>
        <w:spacing w:line="580" w:lineRule="exact"/>
        <w:ind w:firstLine="640"/>
        <w:jc w:val="both"/>
      </w:pPr>
      <w:r>
        <w:rPr>
          <w:rFonts w:ascii="仿宋_GB2312" w:hAnsi="仿宋_GB2312" w:eastAsia="仿宋_GB2312"/>
          <w:b w:val="0"/>
          <w:sz w:val="32"/>
        </w:rPr>
        <w:t>5.住房保障支出(类)12.49万元,占1.36%。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文化和旅游(款)行政运行(项):支出决算数为119.54万元，比上年决算减少36.22万元，下降23.25%,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2.文化旅游体育与传媒支出(类)文化和旅游(款)其他文化和旅游支出(项):支出决算数为13.76万元，比上年决算减少84.24万元，下降85.96%,主要原因是：本年孟克特景区项目经费减少，导致其他文化旅游项目经费下降。</w:t>
      </w:r>
    </w:p>
    <w:p>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10.00万元，比上年决算增加10.00万元，增长100.00%,主要原因是：本年增加旅游保障金项目，导致其他文化旅游支出增加。</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4.社会保障和就业支出(类)行政事业单位养老支出(款)行政单位离退休(项):支出决算数为4.31万元，比上年决算增加1.59万元，增长58.46%,主要原因是：本年增加退休人员基础绩效奖，退休费支出增加。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15.53万元，比上年决算增加0.09万元，增长0.58%,主要原因是：本年在职人员工资基数调增，同时本年在职人员有调入调出，人员职级不同，工资基数不同，养老缴费基数不同，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15.44万元，下降100.00%,主要原因是：上年在职人员转退休1人，职业年金坐实，本年度无退休人员，相应支出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7.87万元，比上年决算减少2.05万元，下降20.67%,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0.19万元，比上年决算减少0.75万元，下降79.79%,主要原因是：本年在职人员调入调出，人员职级不同，缴费基数不同，导致行政单位公务员医疗补助较上年减少。</w:t>
      </w:r>
    </w:p>
    <w:p>
      <w:pPr>
        <w:spacing w:line="580" w:lineRule="exact"/>
        <w:ind w:firstLine="640"/>
        <w:jc w:val="both"/>
      </w:pPr>
      <w:r>
        <w:rPr>
          <w:rFonts w:ascii="仿宋_GB2312" w:hAnsi="仿宋_GB2312" w:eastAsia="仿宋_GB2312"/>
          <w:b w:val="0"/>
          <w:sz w:val="32"/>
        </w:rPr>
        <w:t>9.农林水支出(类)巩固脱贫攻坚成果衔接乡村振兴(款)其他巩固脱贫攻坚成果衔接乡村振兴支出(项):支出决算数为736.51万元，比上年决算增加736.51万元，增长100.00%,主要原因是：本年度增加孟克特古道修路项目。</w:t>
      </w:r>
    </w:p>
    <w:p>
      <w:pPr>
        <w:spacing w:line="580" w:lineRule="exact"/>
        <w:ind w:firstLine="640"/>
        <w:jc w:val="both"/>
      </w:pPr>
      <w:r>
        <w:rPr>
          <w:rFonts w:ascii="仿宋_GB2312" w:hAnsi="仿宋_GB2312" w:eastAsia="仿宋_GB2312"/>
          <w:b w:val="0"/>
          <w:sz w:val="32"/>
        </w:rPr>
        <w:t>10.住房保障支出(类)住房改革支出(款)住房公积金(项):支出决算数为12.49万元，比上年决算减少2.28万元，下降15.44%,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2024年度一般公共预算财政拨款基本支出159.93万元，其中：</w:t>
      </w:r>
      <w:r>
        <w:rPr>
          <w:rFonts w:ascii="仿宋_GB2312" w:hAnsi="仿宋_GB2312" w:eastAsia="仿宋_GB2312"/>
          <w:b/>
          <w:sz w:val="32"/>
        </w:rPr>
        <w:t>人员经费159.43万元，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公用经费0.50万元，</w:t>
      </w:r>
      <w:r>
        <w:rPr>
          <w:rFonts w:ascii="仿宋_GB2312" w:hAnsi="仿宋_GB2312" w:eastAsia="仿宋_GB2312"/>
          <w:b w:val="0"/>
          <w:sz w:val="32"/>
        </w:rPr>
        <w:t>包括：邮电费、公务用车运行维护费。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2024年度财政拨款“三公”经费支出0.27万元，</w:t>
      </w:r>
      <w:r>
        <w:rPr>
          <w:rFonts w:ascii="仿宋_GB2312" w:hAnsi="仿宋_GB2312" w:eastAsia="仿宋_GB2312"/>
          <w:b w:val="0"/>
          <w:sz w:val="32"/>
        </w:rPr>
        <w:t>比上年增加0.05万元，增长22.73%，主要原因是：本年因工作业务需求，用车次数增加，燃油费增加，导致公务用车运行维护费较上年增加。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公务用车购置及运行维护费支出0.27万元，占100.00%，比上年增加0.05万元，增长22.73%，主要原因是：本年因工作业务需求，用车次数增加，燃油费增加，导致公务用车运行维护费较上年增加。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0.27万元，其中：公务用车购置费0.00万元，公务用车运行维护费0.27万元。公务用车运行维护费开支内容包括车辆加油费、维修费、保险费、审车费、过路费等。公务用车购置数0辆，公务用车保有量1辆。国有资产占用情况中固定资产车辆4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0.27万元，决算数0.27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0.27万元，决算数0.27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唐布拉旅游风景区管理委员会（行政单位和参照公务员法管理事业单位）机关运行经费支出0.50万元，比上年减少97.93万元，下降99.49%，主要原因是：本年减少办公费、公务用车运行维护费、邮电费、劳务费、取暖费、差旅费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2024年度政府采购支出总额11.80万元，其中：政府采购货物支出6.80万元、政府采购工程支出0.00万元、政府采购服务支出5.00万元。</w:t>
      </w:r>
    </w:p>
    <w:p>
      <w:pPr>
        <w:spacing w:line="580" w:lineRule="exact"/>
        <w:ind w:firstLine="640"/>
        <w:jc w:val="both"/>
      </w:pPr>
      <w:r>
        <w:rPr>
          <w:rFonts w:ascii="仿宋_GB2312" w:hAnsi="仿宋_GB2312" w:eastAsia="仿宋_GB2312"/>
          <w:b w:val="0"/>
          <w:sz w:val="32"/>
        </w:rPr>
        <w:t>授予中小企业合同金额11.80万元，占政府采购支出总额的100.00%，其中：授予小微企业合同金额11.80万元，占政府采购支出总额的100.00%。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79.86万元，其中：副部（省）级及以上领导用车0辆、主要负责人用车0辆、机要通信用车0辆、应急保障用车0辆、执法执勤用车1辆、特种专业技术用车0辆、离退休干部服务用车0辆、其他用车3辆，其他用车主要是：垃圾车和运输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931.85万元，实际执行总额931.85万元；预算绩效评价项目2个，全年预算数37.76万元，全年执行数37.76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尼勒克县唐布拉旅游风景区管理委员会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971.64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931.85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931.85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760.26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760.26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162.64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159.93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159.93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认真贯彻落实州党委、县委工作会议精神，围绕“旅游提升年”行动目标，坚持以项目建设为引领，擦亮“百里画廊”唐布拉金字招牌，切实将主题教育成效转化为高质量发展实效。2024年狠抓项目建设，带动产业强链集群，加强顶层设计，推动产业集聚发展，推动旅游援疆，提升援疆综合效益，加大品牌创建，塑造旅游品牌形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编制旅游规划书籍数量达到2项，提升景区运营，创新机制次数达到3次，开展冰雪品牌建设工作达到2项，开展景区宣传工作次数达到3次，开展旅游项目数量达到3项。带动产业强链集群，加强顶层设计，推动产业集聚发展，推动旅游援疆，提升援疆综合效益，加大品牌创建，塑造旅游品牌形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编制旅游规划书籍数量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提升景区运营，创新机制次数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开展冰雪品牌建设工作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开展景区宣传工作次数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开展旅游项目数量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尼勒克县唐布拉旅游风景区管理委员会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尼勒克县唐布拉旅游风景区管理委员会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目标1;开展景区维修维护1次,提升旅游服务质量。目标2：保障9名工作人员正常开展工作，保证工作质量。目标3：保障2辆公务用车正常运行，提高工作效率。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开展景区维修维护达到1次,享受公用经费人数达到9人，公务用车保有量达到2辆，项目实际支出14万元，通过该项目的实施，改善了旅游环境，提升旅游服务质量，保证了工作质量，提高了工作效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指标1：开展景区维修维护1次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指标2：享受公用经费人数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指标3：公务用车保有辆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&lt;=0.74万元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指标1；景区维修维护成本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指标3：车辆运行平均成本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指标1：改善旅游环境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旅游保障金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尼勒克县唐布拉旅游风景区管理委员会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尼勒克县唐布拉旅游风景区管理委员会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唐布拉风景旅游区管理委员会为切实做好2024年我县景区旅游旺季服务保障工作，有效应对独库公路乔尔玛路段突发应急状况，不断提升旅游服务质量和游客满意度，结合我县实际，制定本方案，同时保障50名工作人员伙食补助，从而能更好的开展工作，提升对景区游客服务质量，保障景区6辆公务用车每日正常运行，保障工作人员正常开展工作，提高工作效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公务保障用车数量达到6辆，保障工作人员数量达到50人，保障覆盖率达到100%，项目完成时间为2024年11月22日，项目实际支出23.76万元，通过该项目的实施，提升旅游服务质量，保障人员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保障工作人员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2024年11月30日前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2024年11月22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人员支出经费数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&lt;=12.76万元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12.76万元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车辆支出经费数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提升旅游服务质量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