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国家、自治区的国民经济和社会发展方针、政策，研究提出尼勒克县国民经济和社会发展战略、中长期规划和年度发展计划；统筹协调尼勒克县经济社会发展，研究分析区内外经济形势，提出国民经济发展、价格总水平调控和优化重大经济结构的目标、政策，提出综合运用各种经济手段和政策的建议；组织研究、协调实施重点专项规划和主要行业的规划；受尼勒克县人民政府委托向尼勒克县人大提交国民经济和社会发展计划的报告。</w:t>
      </w:r>
    </w:p>
    <w:p>
      <w:pPr>
        <w:spacing w:line="580" w:lineRule="exact"/>
        <w:ind w:firstLine="640"/>
        <w:jc w:val="both"/>
      </w:pPr>
      <w:r>
        <w:rPr>
          <w:rFonts w:ascii="仿宋_GB2312" w:hAnsi="仿宋_GB2312" w:eastAsia="仿宋_GB2312"/>
          <w:sz w:val="32"/>
        </w:rPr>
        <w:t>（2）负责监测尼勒克县宏观经济和社会发展态势，承担预测预警和信息引导的责任，提出促进尼勒克县经济高质量发展的政策建议。研究涉及经济安全和总体产业安全等重点问题，提出政策措施和建议。</w:t>
      </w:r>
    </w:p>
    <w:p>
      <w:pPr>
        <w:spacing w:line="580" w:lineRule="exact"/>
        <w:ind w:firstLine="640"/>
        <w:jc w:val="both"/>
      </w:pPr>
      <w:r>
        <w:rPr>
          <w:rFonts w:ascii="仿宋_GB2312" w:hAnsi="仿宋_GB2312" w:eastAsia="仿宋_GB2312"/>
          <w:sz w:val="32"/>
        </w:rPr>
        <w:t>（3）负责汇总分析尼勒克县财政、金融、产业、价格政策等方面的情况和执行结果，提出政策建议；拟订并组织实施价格政策；制定和调整政府管理的重要商品价格、服务价格和收费项目、标准；发布重大价格信息，监督检查价格政策的执行。</w:t>
      </w:r>
    </w:p>
    <w:p>
      <w:pPr>
        <w:spacing w:line="580" w:lineRule="exact"/>
        <w:ind w:firstLine="640"/>
        <w:jc w:val="both"/>
      </w:pPr>
      <w:r>
        <w:rPr>
          <w:rFonts w:ascii="仿宋_GB2312" w:hAnsi="仿宋_GB2312" w:eastAsia="仿宋_GB2312"/>
          <w:sz w:val="32"/>
        </w:rPr>
        <w:t>（4）研究提出尼勒克县全社会固定资产投资总规模和投资结构的目标政策及措施，规划重大项目和生产力布局；编制、上报尼勒克县固定资产投资计划、重点项目建设计划和前期项目计划；负责尼勒克县重大项目的管理和组织协调；引导社会投资方向；按照管理权限，负责审核上报、审批、核准、备案固定资产投资项目，审查、审批项目初步设计；组织实施尼勒克县固定资产投资项目节能评估审查工作；指导和协调自治区招投标工作;负责重大项目招投标活动有关监督管理工作。</w:t>
      </w:r>
    </w:p>
    <w:p>
      <w:pPr>
        <w:spacing w:line="580" w:lineRule="exact"/>
        <w:ind w:firstLine="640"/>
        <w:jc w:val="both"/>
      </w:pPr>
      <w:r>
        <w:rPr>
          <w:rFonts w:ascii="仿宋_GB2312" w:hAnsi="仿宋_GB2312" w:eastAsia="仿宋_GB2312"/>
          <w:sz w:val="32"/>
        </w:rPr>
        <w:t>（5）负责全县行政事业性收费、公用事业收费、经营性收费价格管理；办理并负责主管全县收费单位年度审验工作；协同有关部门审定和调整全县管理的行政事业性收费项目，协调处理行政事业性收费，公用事业收费及经营性收费的争议。</w:t>
      </w:r>
    </w:p>
    <w:p>
      <w:pPr>
        <w:spacing w:line="580" w:lineRule="exact"/>
        <w:ind w:firstLine="640"/>
        <w:jc w:val="both"/>
      </w:pPr>
      <w:r>
        <w:rPr>
          <w:rFonts w:ascii="仿宋_GB2312" w:hAnsi="仿宋_GB2312" w:eastAsia="仿宋_GB2312"/>
          <w:sz w:val="32"/>
        </w:rPr>
        <w:t>（6）贯彻落实国家、自治区、自治州粮食和物资储备的方针政策和法律法规，落实粮食流通、储备粮油和物资储备管理的法规、规章草案，研究提出粮油、食糖、食盐等物资的储备、轮换和日常管理，负责地方储备粮油行政管理工作。</w:t>
      </w:r>
    </w:p>
    <w:p>
      <w:pPr>
        <w:spacing w:line="580" w:lineRule="exact"/>
        <w:ind w:firstLine="640"/>
        <w:jc w:val="both"/>
      </w:pPr>
      <w:r>
        <w:rPr>
          <w:rFonts w:ascii="仿宋_GB2312" w:hAnsi="仿宋_GB2312" w:eastAsia="仿宋_GB2312"/>
          <w:sz w:val="32"/>
        </w:rPr>
        <w:t>（7）组织实施能源发展战略、规划和政策，组织审核上报煤炭资源开发矿区总体规划，按照管理权限，审核上报和核准煤炭、电力、电网、新能源和可再生能源等能源固定资产投资项目。对辖区煤矿质量标准化运行情况进行监督检查；开展辖区煤矿生产秩序，机械化改造等管理服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尼勒克县发展和改革委员会2024年度，实有人数52人，其中：在职人员20人，减少2人；离休人员0人，增加0人；退休人员32人,增加0人。</w:t>
      </w:r>
    </w:p>
    <w:p>
      <w:pPr>
        <w:spacing w:line="580" w:lineRule="exact"/>
        <w:ind w:firstLine="640"/>
        <w:jc w:val="both"/>
      </w:pPr>
      <w:r>
        <w:rPr>
          <w:rFonts w:ascii="仿宋_GB2312" w:hAnsi="仿宋_GB2312" w:eastAsia="仿宋_GB2312"/>
          <w:sz w:val="32"/>
        </w:rPr>
        <w:t>尼勒克县发展和改革委员会无下属预算单位，下设7个科室，分别是：办公室、项目服务中心、粮食和物资储备中心、双拥工作办公室、国防动员科室、价格科室、财务室。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2024年度收入总计485.98万元，</w:t>
      </w:r>
      <w:r>
        <w:rPr>
          <w:rFonts w:ascii="仿宋_GB2312" w:hAnsi="仿宋_GB2312" w:eastAsia="仿宋_GB2312"/>
          <w:b w:val="0"/>
          <w:sz w:val="32"/>
        </w:rPr>
        <w:t>其中：本年收入合计480.78万元，使用非财政拨款结余（含专用结余）0.00万元，年初结转和结余5.21万元。</w:t>
      </w:r>
    </w:p>
    <w:p>
      <w:pPr>
        <w:spacing w:line="580" w:lineRule="exact"/>
        <w:ind w:firstLine="640"/>
        <w:jc w:val="both"/>
      </w:pPr>
      <w:r>
        <w:rPr>
          <w:rFonts w:ascii="仿宋_GB2312" w:hAnsi="仿宋_GB2312" w:eastAsia="仿宋_GB2312"/>
          <w:b/>
          <w:sz w:val="32"/>
        </w:rPr>
        <w:t>2024年度支出总计485.98万元，</w:t>
      </w:r>
      <w:r>
        <w:rPr>
          <w:rFonts w:ascii="仿宋_GB2312" w:hAnsi="仿宋_GB2312" w:eastAsia="仿宋_GB2312"/>
          <w:b w:val="0"/>
          <w:sz w:val="32"/>
        </w:rPr>
        <w:t>其中：本年支出合计485.92万元，结余分配0.00万元，年末结转和结余0.06万元。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减少196.45万元，下降28.79%，主要原因是：1.本年在职人员减少，相关人员经费较上年减少。2.本年未拨付县级储备粮油补贴及仓储维修资金。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本年收入480.78万元，</w:t>
      </w:r>
      <w:r>
        <w:rPr>
          <w:rFonts w:ascii="仿宋_GB2312" w:hAnsi="仿宋_GB2312" w:eastAsia="仿宋_GB2312"/>
          <w:b w:val="0"/>
          <w:sz w:val="32"/>
        </w:rPr>
        <w:t>其中：财政拨款收入480.77万元，占100.00%；上级补助收入0.00万元，占0.00%；事业收入0.00万元，占0.00%；经营收入0.00万元，占0.00%；附属单位上缴收入0.00万元，占0.00%；其他收入0.01万元，占0.002%。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本年支出485.92万元，</w:t>
      </w:r>
      <w:r>
        <w:rPr>
          <w:rFonts w:ascii="仿宋_GB2312" w:hAnsi="仿宋_GB2312" w:eastAsia="仿宋_GB2312"/>
          <w:b w:val="0"/>
          <w:sz w:val="32"/>
        </w:rPr>
        <w:t>其中：基本支出432.82万元，占89.07%；项目支出53.10万元，占10.93%；上缴上级支出0.00万元，占0.00%；经营支出0.00万元，占0.00%；对附属单位补助支出0.00万元，占0.00%。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2024年度财政拨款收入总计480.77万元，</w:t>
      </w:r>
      <w:r>
        <w:rPr>
          <w:rFonts w:ascii="仿宋_GB2312" w:hAnsi="仿宋_GB2312" w:eastAsia="仿宋_GB2312"/>
          <w:b w:val="0"/>
          <w:sz w:val="32"/>
        </w:rPr>
        <w:t>其中：年初财政拨款结转和结余0.00万元，本年财政拨款收入480.77万元。</w:t>
      </w:r>
      <w:r>
        <w:rPr>
          <w:rFonts w:ascii="仿宋_GB2312" w:hAnsi="仿宋_GB2312" w:eastAsia="仿宋_GB2312"/>
          <w:b/>
          <w:sz w:val="32"/>
        </w:rPr>
        <w:t>财政拨款支出总计480.77万元，</w:t>
      </w:r>
      <w:r>
        <w:rPr>
          <w:rFonts w:ascii="仿宋_GB2312" w:hAnsi="仿宋_GB2312" w:eastAsia="仿宋_GB2312"/>
          <w:b w:val="0"/>
          <w:sz w:val="32"/>
        </w:rPr>
        <w:t>其中：年末财政拨款结转和结余0.00万元，本年财政拨款支出480.77万元。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减少196.45万元，下降29.01%，主要原因是：1.本年在职人员减少，相关人员经费较上年减少。2.本年未拨付县级储备粮油补贴及仓储维修资金。</w:t>
      </w:r>
      <w:r>
        <w:rPr>
          <w:rFonts w:ascii="仿宋_GB2312" w:hAnsi="仿宋_GB2312" w:eastAsia="仿宋_GB2312"/>
          <w:b/>
          <w:sz w:val="32"/>
        </w:rPr>
        <w:t>与年初预算相比，</w:t>
      </w:r>
      <w:r>
        <w:rPr>
          <w:rFonts w:ascii="仿宋_GB2312" w:hAnsi="仿宋_GB2312" w:eastAsia="仿宋_GB2312"/>
          <w:b w:val="0"/>
          <w:sz w:val="32"/>
        </w:rPr>
        <w:t>年初预算数463.74万元，决算数480.77万元，预决算差异率3.67%，主要原因是：年中追加自治区预算内项目前期费，年中追加人员工资、社保、公积金基数调增部分资金，导致预决算存在差异。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2024年度一般公共预算财政拨款支出480.77万元，</w:t>
      </w:r>
      <w:r>
        <w:rPr>
          <w:rFonts w:ascii="仿宋_GB2312" w:hAnsi="仿宋_GB2312" w:eastAsia="仿宋_GB2312"/>
          <w:b w:val="0"/>
          <w:sz w:val="32"/>
        </w:rPr>
        <w:t>占本年支出合计的98.94%。</w:t>
      </w:r>
      <w:r>
        <w:rPr>
          <w:rFonts w:ascii="仿宋_GB2312" w:hAnsi="仿宋_GB2312" w:eastAsia="仿宋_GB2312"/>
          <w:b/>
          <w:sz w:val="32"/>
        </w:rPr>
        <w:t>与上年相比，</w:t>
      </w:r>
      <w:r>
        <w:rPr>
          <w:rFonts w:ascii="仿宋_GB2312" w:hAnsi="仿宋_GB2312" w:eastAsia="仿宋_GB2312"/>
          <w:b w:val="0"/>
          <w:sz w:val="32"/>
        </w:rPr>
        <w:t>减少196.45万元，下降29.01%，主要原因是：1.本年在职人员减少，相关人员经费较上年减少。2.本年减少县级储备粮油补贴及仓储维修资金。</w:t>
      </w:r>
      <w:r>
        <w:rPr>
          <w:rFonts w:ascii="仿宋_GB2312" w:hAnsi="仿宋_GB2312" w:eastAsia="仿宋_GB2312"/>
          <w:b/>
          <w:sz w:val="32"/>
        </w:rPr>
        <w:t>与年初预算相比,</w:t>
      </w:r>
      <w:r>
        <w:rPr>
          <w:rFonts w:ascii="仿宋_GB2312" w:hAnsi="仿宋_GB2312" w:eastAsia="仿宋_GB2312"/>
          <w:b w:val="0"/>
          <w:sz w:val="32"/>
        </w:rPr>
        <w:t>年初预算数463.74万元，决算数480.77万元，预决算差异率3.67%，主要原因是：年中追加自治区预算内项目前期费，年中追加人员工资、社保、公积金基数调增部分资金，导致预决算存在差异。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1.一般公共服务支出(类)337.98万元,占70.30%。</w:t>
      </w:r>
    </w:p>
    <w:p>
      <w:pPr>
        <w:spacing w:line="580" w:lineRule="exact"/>
        <w:ind w:firstLine="640"/>
        <w:jc w:val="both"/>
      </w:pPr>
      <w:r>
        <w:rPr>
          <w:rFonts w:ascii="仿宋_GB2312" w:hAnsi="仿宋_GB2312" w:eastAsia="仿宋_GB2312"/>
          <w:b w:val="0"/>
          <w:sz w:val="32"/>
        </w:rPr>
        <w:t>2.社会保障和就业支出(类)94.29万元,占19.61%。</w:t>
      </w:r>
    </w:p>
    <w:p>
      <w:pPr>
        <w:spacing w:line="580" w:lineRule="exact"/>
        <w:ind w:firstLine="640"/>
        <w:jc w:val="both"/>
      </w:pPr>
      <w:r>
        <w:rPr>
          <w:rFonts w:ascii="仿宋_GB2312" w:hAnsi="仿宋_GB2312" w:eastAsia="仿宋_GB2312"/>
          <w:b w:val="0"/>
          <w:sz w:val="32"/>
        </w:rPr>
        <w:t>3.卫生健康支出(类)20.02万元,占4.16%。</w:t>
      </w:r>
    </w:p>
    <w:p>
      <w:pPr>
        <w:spacing w:line="580" w:lineRule="exact"/>
        <w:ind w:firstLine="640"/>
        <w:jc w:val="both"/>
      </w:pPr>
      <w:r>
        <w:rPr>
          <w:rFonts w:ascii="仿宋_GB2312" w:hAnsi="仿宋_GB2312" w:eastAsia="仿宋_GB2312"/>
          <w:b w:val="0"/>
          <w:sz w:val="32"/>
        </w:rPr>
        <w:t>4.住房保障支出(类)28.47万元,占5.92%。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1.一般公共服务支出(类)发展与改革事务(款)行政运行(项):支出决算数为283.59万元，比上年决算增加25.41万元，增长9.84%,主要原因是：本年在职人员工资调增，导致相关人员经费较上年有所增加。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2.一般公共服务支出(类)发展与改革事务(款)战略规划与实施(项):支出决算数为0.00万元，比上年决算减少65.00万元，下降100.00%,主要原因是：本年减少自治区预算内项目前期费，减少项目可行性研究报告编制。</w:t>
      </w:r>
    </w:p>
    <w:p>
      <w:pPr>
        <w:spacing w:line="580" w:lineRule="exact"/>
        <w:ind w:firstLine="640"/>
        <w:jc w:val="both"/>
      </w:pPr>
      <w:r>
        <w:rPr>
          <w:rFonts w:ascii="仿宋_GB2312" w:hAnsi="仿宋_GB2312" w:eastAsia="仿宋_GB2312"/>
          <w:b w:val="0"/>
          <w:sz w:val="32"/>
        </w:rPr>
        <w:t>3.一般公共服务支出(类)发展与改革事务(款)其他发展与改革事务支出(项):支出决算数为54.39万元，比上年决算减少80.40万元，下降59.65%,主要原因是：本年减少尼勒克县社会信用体系共享平台等项目。</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4.社会保障和就业支出(类)行政事业单位养老支出(款)行政单位离退休(项):支出决算数为22.38万元，比上年决算增加6.34万元，增长39.53%,主要原因是：本年增加退休人员基础绩效奖，退休费支出增加。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5.社会保障和就业支出(类)行政事业单位养老支出(款)事业单位离退休(项):支出决算数为0.81万元，比上年决算减少0.15万元，下降15.62%,主要原因是：本年1名退休人员医疗保险缴费年限已满20年，暂停缴费。</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6.社会保障和就业支出(类)行政事业单位养老支出(款)机关事业单位基本养老保险缴费支出(项):支出决算数为33.61万元，比上年决算增加2.19万元，增长6.97%,主要原因是：本年在职人员工资调增，养老保险缴费增加。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7.社会保障和就业支出(类)行政事业单位养老支出(款)机关事业单位职业年金缴费支出(项):支出决算数为15.75万元，比上年决算增加2.86万元，增长22.19%,主要原因是：本年新增退休人员，增加职业年金支出。</w:t>
      </w:r>
    </w:p>
    <w:p>
      <w:pPr>
        <w:spacing w:line="580" w:lineRule="exact"/>
        <w:ind w:firstLine="640"/>
        <w:jc w:val="both"/>
      </w:pPr>
      <w:r>
        <w:rPr>
          <w:rFonts w:ascii="仿宋_GB2312" w:hAnsi="仿宋_GB2312" w:eastAsia="仿宋_GB2312"/>
          <w:b w:val="0"/>
          <w:sz w:val="32"/>
        </w:rPr>
        <w:t>8.社会保障和就业支出(类)抚恤(款)死亡抚恤(项):支出决算数为21.73万元，比上年决算增加21.73万元，增长100.00%,主要原因是：本年新增退休人员死亡，增加死亡抚恤金。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9.卫生健康支出(类)行政事业单位医疗(款)行政单位医疗(项):支出决算数为9.10万元，比上年决算增加0.69万元，增长8.20%,主要原因是：本年在职人员工资调增，医疗保险缴费基数增加。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10.卫生健康支出(类)行政事业单位医疗(款)事业单位医疗(项):支出决算数为10.68万元，比上年决算增加4.30万元，增长67.40%,主要原因是：本年在职人员工资调增，医疗保险缴费基数增加。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11.卫生健康支出(类)行政事业单位医疗(款)公务员医疗补助(项):支出决算数为0.25万元，比上年决算减少0.42万元，下降62.69%,主要原因是：退休人员医疗保险制度改革，退休人员不再缴纳医疗，相应支出减少。</w:t>
      </w:r>
    </w:p>
    <w:p>
      <w:pPr>
        <w:spacing w:line="580" w:lineRule="exact"/>
        <w:ind w:firstLine="640"/>
        <w:jc w:val="both"/>
      </w:pPr>
      <w:r>
        <w:rPr>
          <w:rFonts w:ascii="仿宋_GB2312" w:hAnsi="仿宋_GB2312" w:eastAsia="仿宋_GB2312"/>
          <w:b w:val="0"/>
          <w:sz w:val="32"/>
        </w:rPr>
        <w:t>12.农林水支出(类)巩固脱贫攻坚成果衔接乡村振兴(款)生产发展(项):支出决算数为0.00万元，比上年决算减少10.00万元，下降100.00%,主要原因是：本年减少2016年喀拉苏乡易地扶贫搬迁配套工程（一标段）项目支出。</w:t>
      </w:r>
    </w:p>
    <w:p>
      <w:pPr>
        <w:spacing w:line="580" w:lineRule="exact"/>
        <w:ind w:firstLine="640"/>
        <w:jc w:val="both"/>
      </w:pPr>
      <w:r>
        <w:rPr>
          <w:rFonts w:ascii="仿宋_GB2312" w:hAnsi="仿宋_GB2312" w:eastAsia="仿宋_GB2312"/>
          <w:b w:val="0"/>
          <w:sz w:val="32"/>
        </w:rPr>
        <w:t>13.农林水支出(类)巩固脱贫攻坚成果衔接乡村振兴(款)其他巩固脱贫攻坚成果衔接乡村振兴支出(项):支出决算数为0.00万元，比上年决算减少98.20万元，下降100.00%,主要原因是：本年减少尼勒克县级储备小麦及应急储备粮油保管费、轮换费项目支出。</w:t>
      </w:r>
    </w:p>
    <w:p>
      <w:pPr>
        <w:spacing w:line="580" w:lineRule="exact"/>
        <w:ind w:firstLine="640"/>
        <w:jc w:val="both"/>
      </w:pPr>
      <w:r>
        <w:rPr>
          <w:rFonts w:ascii="仿宋_GB2312" w:hAnsi="仿宋_GB2312" w:eastAsia="仿宋_GB2312"/>
          <w:b w:val="0"/>
          <w:sz w:val="32"/>
        </w:rPr>
        <w:t>14.交通运输支出(类)民用航空运输(款)机场建设(项):支出决算数为0.00万元，比上年决算减少9.00万元，下降100.00%,主要原因是：本年减少尼勒克县通用机场建设项目前期费项目费用。</w:t>
      </w:r>
    </w:p>
    <w:p>
      <w:pPr>
        <w:spacing w:line="580" w:lineRule="exact"/>
        <w:ind w:firstLine="640"/>
        <w:jc w:val="both"/>
      </w:pPr>
      <w:r>
        <w:rPr>
          <w:rFonts w:ascii="仿宋_GB2312" w:hAnsi="仿宋_GB2312" w:eastAsia="仿宋_GB2312"/>
          <w:b w:val="0"/>
          <w:sz w:val="32"/>
        </w:rPr>
        <w:t>15.住房保障支出(类)住房改革支出(款)住房公积金(项):支出决算数为28.47万元，比上年决算增加3.20万元，增长12.66%,主要原因是：本年在职人员工资调增，住房公积金基数增加。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2024年度一般公共预算财政拨款基本支出427.67万元，其中：</w:t>
      </w:r>
      <w:r>
        <w:rPr>
          <w:rFonts w:ascii="仿宋_GB2312" w:hAnsi="仿宋_GB2312" w:eastAsia="仿宋_GB2312"/>
          <w:b/>
          <w:sz w:val="32"/>
        </w:rPr>
        <w:t>人员经费421.93万元，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公用经费5.74万元，</w:t>
      </w:r>
      <w:r>
        <w:rPr>
          <w:rFonts w:ascii="仿宋_GB2312" w:hAnsi="仿宋_GB2312" w:eastAsia="仿宋_GB2312"/>
          <w:b w:val="0"/>
          <w:sz w:val="32"/>
        </w:rPr>
        <w:t>包括：办公费、印刷费、邮电费、差旅费、公务接待费、劳务费、委托业务费、公务用车运行维护费、其他交通费用。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2024年度财政拨款“三公”经费支出1.74万元，</w:t>
      </w:r>
      <w:r>
        <w:rPr>
          <w:rFonts w:ascii="仿宋_GB2312" w:hAnsi="仿宋_GB2312" w:eastAsia="仿宋_GB2312"/>
          <w:b w:val="0"/>
          <w:sz w:val="32"/>
        </w:rPr>
        <w:t>比上年减少1.93万元，下降52.59%，主要原因是：（1）本年培训及调查指导业务减少，相应减少公车运行维护费。（2）严格落实中央八项规定精神，厉行节约，减少公务用车运行维护费。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1.44万元，占82.76%，比上年减少2.23万元，下降60.76%，主要原因是：（1）本年培训及调查指导业务减少，相应减少公车运行维护费。（2）严格落实中央八项规定精神，厉行节约，减少公务用车运行维护费。</w:t>
      </w:r>
      <w:r>
        <w:rPr>
          <w:rFonts w:ascii="仿宋_GB2312" w:hAnsi="仿宋_GB2312" w:eastAsia="仿宋_GB2312"/>
          <w:b w:val="0"/>
          <w:sz w:val="32"/>
        </w:rPr>
        <w:t>公务接待费支出0.30万元，占17.24%，比上年增加0.30万元，增长100.00%，主要原因是：本年因业务需求，增加公务接待工作，导致公务接待费较上年增加。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1.44万元，其中：公务用车购置费0.00万元，公务用车运行维护费1.44万元。公务用车运行维护费开支内容包括车辆加油费、保险费、过路费、维修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公务接待费0.30万元，开支内容包括因经济观摩会等工作需要，接待上级领导检查产生的就餐费。单位全年安排的国内公务接待2批次，30人次。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1.74万元，决算数1.74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1.44万元，决算数1.44万元，预决算差异率0.00%，主要原因是：严格按照预算执行，预决算无差异。公务接待费全年预算数0.30万元，决算数0.30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2024年度尼勒克县发展和改革委员会（行政单位和参照公务员法管理事业单位）机关运行经费支出5.74万元，比上年减少5.91万元，下降50.73%，主要原因是：严格控制公用经费，合理节约办公用品，减少不必要开支。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2024年度政府采购支出总额0.79万元，其中：政府采购货物支出0.00万元、政府采购工程支出0.00万元、政府采购服务支出0.79万元。</w:t>
      </w:r>
    </w:p>
    <w:p>
      <w:pPr>
        <w:spacing w:line="580" w:lineRule="exact"/>
        <w:ind w:firstLine="640"/>
        <w:jc w:val="both"/>
      </w:pPr>
      <w:r>
        <w:rPr>
          <w:rFonts w:ascii="仿宋_GB2312" w:hAnsi="仿宋_GB2312" w:eastAsia="仿宋_GB2312"/>
          <w:b w:val="0"/>
          <w:sz w:val="32"/>
        </w:rPr>
        <w:t>授予中小企业合同金额0.79万元，占政府采购支出总额的100.00%，其中：授予小微企业合同金额0.79万元，占政府采购支出总额的100.00%。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26.47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485.92万元，实际执行总额485.92万元；预算绩效评价项目2个，全年预算数7.39万元，全年执行数6.43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尼勒克县发展和改革委员会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469.51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485.92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485.92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462.12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479.49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479.49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完成年度投资任务、谋划项目储备，推进能源矿产规划建设，完成农产品成本调查任务，做好价格服务管理和价格监测，推进信用信息共享和应用、完善信用体系平台建设，全力做好国防动员、兵地融合工作。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争取500万元以上重点项目个数达到78项，兵地融合组织共建活动次数达到4次，社会信用体系诚信文化活动次数达到2次，2024年县级政府储备粮达到28100吨，固定资产投资增长率达到2.9%，兵地融合组织活动参与率达到90%，对价格认定案件受理满意度达到90%。做好价格服务管理和价格监测，推进信用信息共享和应用、完善信用体系平台建设，全力做好国防动员、兵地融合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指标1：争取500万元以上重点项目个数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&gt;=61项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指标2：兵地融合组织共建活动次数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指标1：固定资产投资增长率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尼勒克县2023年国民经济和社会发展计划执行情况及2024年国民经济和社会发展计划草案的报告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指标3：社会信用体系诚信文化活动次数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指标4：2024年县级政府储备粮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&gt;=4800吨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28100吨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指标2：兵地融合组织活动参与率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指标1：对价格认定案件受理满意度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2024年农产品成本调查经费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尼勒克县发展和改革委员会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尼勒克县发展和改革委员会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79.01%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4.75</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为了使工作正常开展，制定农产品价格、财政补贴。保险及农业扶持政策提供参考依据，为建立农资综合补贴动态调整机制提供成本数据，为农业补贴的调整提供科学依据，受益人员满意度达95%以上。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为准确掌握全县小麦、玉米生产成本及收益情况，我委工作人员深入乡镇开展3次农产品成本调查工作，参与成本调查培训次数达到6次，工作人员深入乡镇田间地头和农户家中面对面交流，现场指导解释调查内容，详细了解小麦、玉米的生产实际情况，对各项农业生产成本数据进行核对和分析，确保调查完整性和准确性。农产品价格监测数据上报合格率达90%以上，按要求上报成本调查数据及时率达95%，此次调查涉及6个乡镇18户农本调查户，通过数据分析，评估农产品生产的经济效益，为科学制定农业支持政策、优化农业产业结构、促进农民增收提供数据支撑，农户满意度调查达97.98%。</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指标1：开展农产品成本实地调查次数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指标2：成本调查培训次数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指标1：农产品价格监测数据上报合格率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指标1：按要求上报成本调查数据及时率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指标1：成本调查经费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&lt;=1.62万元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79.01%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2024年底的上级数据专审及培训未进行，导致资金执行有偏差。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指标1：为政府宏观调控提供数据支持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指标1：农户满意度调查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90.55分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尼勒克县发展和改革委员会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尼勒克县发展和改革委员会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89.25%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7.31</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保证出差人员的正常工作需要，保障公共服务的质量和可持续发展，确保各项工作顺利完成。</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截止2024年12月底，保障2辆公务用车正常运转，保障20名办公人员完成日常工作，资金发放准确率100%，公用经费支付及时率100%，项目支出5.15万元，有效保障2024年度工作的持续开展。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指标2：公务保障用车数量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指标1：:保障办公人员数量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指标1：公用经费支付及时率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&lt;=0.2万元/人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0.16万元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指标2：公用经费支出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&lt;=1.89万元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指标1：有效保障工作的持续开展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97.31分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