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尼勒克县医疗保障局2024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实施国家、自治区医疗保险、生育保险、医疗救助等医疗保障制度，执行落实自治区医疗保障制度的法规规章政策、规划和标准;执行落实自治区人身意外伤害保险、大额医疗补助、公务员医疗补助、企事业单位补充医疗保险、离休人员等医疗保障等政策、管理办法。</w:t>
      </w:r>
    </w:p>
    <w:p>
      <w:pPr>
        <w:spacing w:line="580" w:lineRule="exact"/>
        <w:ind w:firstLine="640"/>
        <w:jc w:val="both"/>
      </w:pPr>
      <w:r>
        <w:rPr>
          <w:rFonts w:ascii="仿宋_GB2312" w:hAnsi="仿宋_GB2312" w:eastAsia="仿宋_GB2312"/>
          <w:sz w:val="32"/>
        </w:rPr>
        <w:t>（2）贯彻落实药品、医用耗材价格和医疗服务项目、医疗服务设施收费等政策，贯彻落实药品、医用耗材的招标采购政策落实医保支付医药服务价格动态调整措施，建立市场主导的社会医药服务价格形成机制，建立医药服务价格信息监测和信息发布制度，配合做好药品、医用耗材招标采购平台建设。</w:t>
      </w:r>
    </w:p>
    <w:p>
      <w:pPr>
        <w:spacing w:line="580" w:lineRule="exact"/>
        <w:ind w:firstLine="640"/>
        <w:jc w:val="both"/>
      </w:pPr>
      <w:r>
        <w:rPr>
          <w:rFonts w:ascii="仿宋_GB2312" w:hAnsi="仿宋_GB2312" w:eastAsia="仿宋_GB2312"/>
          <w:sz w:val="32"/>
        </w:rPr>
        <w:t>（3）与县卫生健康委员会的有关职责分工。县卫生健康委员会、县医疗保障局等部门在医疗、医保、医药等方面加强制度政策街接，建立沟通协商机制，协同推进改革，提高医疗资源使用效率和医疗保障水平。</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尼勒克县医疗保障局2024年度，实有人数13人，其中：在职人员12人，减少1人；离休人员0人，增加0人；退休人员1人,增加1人。</w:t>
      </w:r>
    </w:p>
    <w:p>
      <w:pPr>
        <w:spacing w:line="580" w:lineRule="exact"/>
        <w:ind w:firstLine="640"/>
        <w:jc w:val="both"/>
      </w:pPr>
      <w:r>
        <w:rPr>
          <w:rFonts w:ascii="仿宋_GB2312" w:hAnsi="仿宋_GB2312" w:eastAsia="仿宋_GB2312"/>
          <w:sz w:val="32"/>
        </w:rPr>
        <w:t>尼勒克县医疗保障局无下属预算单位，下设1个科室，分别是：办公室。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2024年度收入总计376.12万元，</w:t>
      </w:r>
      <w:r>
        <w:rPr>
          <w:rFonts w:ascii="仿宋_GB2312" w:hAnsi="仿宋_GB2312" w:eastAsia="仿宋_GB2312"/>
          <w:b w:val="0"/>
          <w:sz w:val="32"/>
        </w:rPr>
        <w:t>其中：本年收入合计376.12万元，使用非财政拨款结余（含专用结余）0.00万元，年初结转和结余0.00万元。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2024年度支出总计376.12万元，</w:t>
      </w:r>
      <w:r>
        <w:rPr>
          <w:rFonts w:ascii="仿宋_GB2312" w:hAnsi="仿宋_GB2312" w:eastAsia="仿宋_GB2312"/>
          <w:b w:val="0"/>
          <w:sz w:val="32"/>
        </w:rPr>
        <w:t>其中：本年支出合计376.12万元，结余分配0.00万元，年末结转和结余0.00万元。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增加10.99万元，增长3.01%，主要原因是：2024年人身意外伤害保险补助县级配补助资金增加。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本年收入376.12万元，</w:t>
      </w:r>
      <w:r>
        <w:rPr>
          <w:rFonts w:ascii="仿宋_GB2312" w:hAnsi="仿宋_GB2312" w:eastAsia="仿宋_GB2312"/>
          <w:b w:val="0"/>
          <w:sz w:val="32"/>
        </w:rPr>
        <w:t>其中：财政拨款收入373.04万元，占99.18%；上级补助收入0.00万元，占0.00%；事业收入0.00万元，占0.00%；经营收入0.00万元，占0.00%；附属单位上缴收入0.00万元，占0.00%；其他收入3.08万元，占0.82%。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本年支出376.12万元，</w:t>
      </w:r>
      <w:r>
        <w:rPr>
          <w:rFonts w:ascii="仿宋_GB2312" w:hAnsi="仿宋_GB2312" w:eastAsia="仿宋_GB2312"/>
          <w:b w:val="0"/>
          <w:sz w:val="32"/>
        </w:rPr>
        <w:t>其中：基本支出224.52万元，占59.69%；项目支出151.60万元，占40.31%；上缴上级支出0.00万元，占0.00%；经营支出0.00万元，占0.00%；对附属单位补助支出0.00万元，占0.00%。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2024年度财政拨款收入总计373.04万元，</w:t>
      </w:r>
      <w:r>
        <w:rPr>
          <w:rFonts w:ascii="仿宋_GB2312" w:hAnsi="仿宋_GB2312" w:eastAsia="仿宋_GB2312"/>
          <w:b w:val="0"/>
          <w:sz w:val="32"/>
        </w:rPr>
        <w:t>其中：年初财政拨款结转和结余0.00万元，本年财政拨款收入373.04万元。</w:t>
      </w:r>
      <w:r>
        <w:rPr>
          <w:rFonts w:ascii="仿宋_GB2312" w:hAnsi="仿宋_GB2312" w:eastAsia="仿宋_GB2312"/>
          <w:b/>
          <w:sz w:val="32"/>
        </w:rPr>
        <w:t>财政拨款支出总计373.04万元，</w:t>
      </w:r>
      <w:r>
        <w:rPr>
          <w:rFonts w:ascii="仿宋_GB2312" w:hAnsi="仿宋_GB2312" w:eastAsia="仿宋_GB2312"/>
          <w:b w:val="0"/>
          <w:sz w:val="32"/>
        </w:rPr>
        <w:t>其中：年末财政拨款结转和结余0.00万元，本年财政拨款支出373.04万元。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增加7.91万元，增长2.17%，主要原因是：2024年人身意外伤害保险补助县级配补助资金增加。</w:t>
      </w:r>
      <w:r>
        <w:rPr>
          <w:rFonts w:ascii="仿宋_GB2312" w:hAnsi="仿宋_GB2312" w:eastAsia="仿宋_GB2312"/>
          <w:b/>
          <w:sz w:val="32"/>
        </w:rPr>
        <w:t>与年初预算相比，</w:t>
      </w:r>
      <w:r>
        <w:rPr>
          <w:rFonts w:ascii="仿宋_GB2312" w:hAnsi="仿宋_GB2312" w:eastAsia="仿宋_GB2312"/>
          <w:b w:val="0"/>
          <w:sz w:val="32"/>
        </w:rPr>
        <w:t>年初预算数342.90万元，决算数373.04万元，预决算差异率8.79%，主要原因是：年中追加2024年人身意外伤害保险补助县级配补助资金，导致预决算差异。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2024年度一般公共预算财政拨款支出373.04万元，</w:t>
      </w:r>
      <w:r>
        <w:rPr>
          <w:rFonts w:ascii="仿宋_GB2312" w:hAnsi="仿宋_GB2312" w:eastAsia="仿宋_GB2312"/>
          <w:b w:val="0"/>
          <w:sz w:val="32"/>
        </w:rPr>
        <w:t>占本年支出合计的99.18%。</w:t>
      </w:r>
      <w:r>
        <w:rPr>
          <w:rFonts w:ascii="仿宋_GB2312" w:hAnsi="仿宋_GB2312" w:eastAsia="仿宋_GB2312"/>
          <w:b/>
          <w:sz w:val="32"/>
        </w:rPr>
        <w:t>与上年相比，</w:t>
      </w:r>
      <w:r>
        <w:rPr>
          <w:rFonts w:ascii="仿宋_GB2312" w:hAnsi="仿宋_GB2312" w:eastAsia="仿宋_GB2312"/>
          <w:b w:val="0"/>
          <w:sz w:val="32"/>
        </w:rPr>
        <w:t>增加7.91万元，增长2.17%，主要原因是：2024年人身意外伤害保险补助县级配补助资金增加。</w:t>
      </w:r>
      <w:r>
        <w:rPr>
          <w:rFonts w:ascii="仿宋_GB2312" w:hAnsi="仿宋_GB2312" w:eastAsia="仿宋_GB2312"/>
          <w:b/>
          <w:sz w:val="32"/>
        </w:rPr>
        <w:t>与年初预算相比,</w:t>
      </w:r>
      <w:r>
        <w:rPr>
          <w:rFonts w:ascii="仿宋_GB2312" w:hAnsi="仿宋_GB2312" w:eastAsia="仿宋_GB2312"/>
          <w:b w:val="0"/>
          <w:sz w:val="32"/>
        </w:rPr>
        <w:t>年初预算数342.90万元，决算数373.04万元，预决算差异率8.79%，主要原因是：年中追加2024年人身意外伤害保险补助县级配补助资金，导致预决算差异。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1.社会保障和就业支出(类)29.31万元,占7.86%。</w:t>
      </w:r>
    </w:p>
    <w:p>
      <w:pPr>
        <w:spacing w:line="580" w:lineRule="exact"/>
        <w:ind w:firstLine="640"/>
        <w:jc w:val="both"/>
      </w:pPr>
      <w:r>
        <w:rPr>
          <w:rFonts w:ascii="仿宋_GB2312" w:hAnsi="仿宋_GB2312" w:eastAsia="仿宋_GB2312"/>
          <w:b w:val="0"/>
          <w:sz w:val="32"/>
        </w:rPr>
        <w:t>2.卫生健康支出(类)326.77万元,占87.60%。</w:t>
      </w:r>
    </w:p>
    <w:p>
      <w:pPr>
        <w:spacing w:line="580" w:lineRule="exact"/>
        <w:ind w:firstLine="640"/>
        <w:jc w:val="both"/>
      </w:pPr>
      <w:r>
        <w:rPr>
          <w:rFonts w:ascii="仿宋_GB2312" w:hAnsi="仿宋_GB2312" w:eastAsia="仿宋_GB2312"/>
          <w:b w:val="0"/>
          <w:sz w:val="32"/>
        </w:rPr>
        <w:t>3.住房保障支出(类)16.96万元,占4.55%。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1.社会保障和就业支出(类)行政事业单位养老支出(款)行政单位离退休(项):支出决算数为0.27万元，比上年决算增加0.27万元，增长100.00%,主要原因是：2024年新增退休人员1人，相关退休人员经费增加。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2.社会保障和就业支出(类)行政事业单位养老支出(款)机关事业单位基本养老保险缴费支出(项):支出决算数为21.58万元，比上年决算减少1.90万元，下降8.09%,主要原因是：2024年新增退休人员1人，相关养老保险减少。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7.45万元，比上年决算增加3.81万元，增长104.67%,主要原因是：本年新增退休人员1人，机关事业单位职业年金缴费支出增加。</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4.卫生健康支出(类)行政事业单位医疗(款)行政单位医疗(项):支出决算数为3.44万元，比上年决算减少1.58万元，下降31.47%,主要原因是：2024年度在职人员转退休，医疗保险缴费减少。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5.卫生健康支出(类)行政事业单位医疗(款)事业单位医疗(项):支出决算数为7.50万元，比上年决算增加2.33万元，增长45.07%,主要原因是：人员工资基数调增，医疗基数上涨，相应支出增加。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0.12万元，比上年决算减少0.03万元，下降20.00%,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7.卫生健康支出(类)医疗救助(款)其他医疗救助支出(项):支出决算数为151.60万元，比上年决算增加39.84万元，增长35.65%,主要原因是：2024年人身意外伤害保险补助县级配补助资金增加。</w:t>
      </w:r>
    </w:p>
    <w:p>
      <w:pPr>
        <w:spacing w:line="580" w:lineRule="exact"/>
        <w:ind w:firstLine="640"/>
        <w:jc w:val="both"/>
      </w:pPr>
      <w:r>
        <w:rPr>
          <w:rFonts w:ascii="仿宋_GB2312" w:hAnsi="仿宋_GB2312" w:eastAsia="仿宋_GB2312"/>
          <w:b w:val="0"/>
          <w:sz w:val="32"/>
        </w:rPr>
        <w:t>8.卫生健康支出(类)医疗保障管理事务(款)行政运行(项):支出决算数为160.78万元，比上年决算减少22.19万元，下降12.13%,主要原因是：本年度减少上级全民参保补助资金，相关支出经费减少。</w:t>
      </w:r>
    </w:p>
    <w:p>
      <w:pPr>
        <w:spacing w:line="580" w:lineRule="exact"/>
        <w:ind w:firstLine="640"/>
        <w:jc w:val="both"/>
      </w:pPr>
      <w:r>
        <w:rPr>
          <w:rFonts w:ascii="仿宋_GB2312" w:hAnsi="仿宋_GB2312" w:eastAsia="仿宋_GB2312"/>
          <w:b w:val="0"/>
          <w:sz w:val="32"/>
        </w:rPr>
        <w:t>9.卫生健康支出(类)医疗保障管理事务(款)医疗保障经办事务(项):支出决算数为3.20万元，比上年决算减少1.09万元，下降25.41%,主要原因是：本年度上级全民参保补助资金减少，相关支出经费减少。</w:t>
      </w:r>
    </w:p>
    <w:p>
      <w:pPr>
        <w:spacing w:line="580" w:lineRule="exact"/>
        <w:ind w:firstLine="640"/>
        <w:jc w:val="both"/>
      </w:pPr>
      <w:r>
        <w:rPr>
          <w:rFonts w:ascii="仿宋_GB2312" w:hAnsi="仿宋_GB2312" w:eastAsia="仿宋_GB2312"/>
          <w:b w:val="0"/>
          <w:sz w:val="32"/>
        </w:rPr>
        <w:t>10.卫生健康支出(类)医疗保障管理事务(款)其他医疗保障管理事务支出(项):支出决算数为0.13万元，比上年决算减少9.87万元，下降98.70%,主要原因是：2024年减少中央财政医疗服务与保障能力提升补助资金项目。</w:t>
      </w:r>
    </w:p>
    <w:p>
      <w:pPr>
        <w:spacing w:line="580" w:lineRule="exact"/>
        <w:ind w:firstLine="640"/>
        <w:jc w:val="both"/>
      </w:pPr>
      <w:r>
        <w:rPr>
          <w:rFonts w:ascii="仿宋_GB2312" w:hAnsi="仿宋_GB2312" w:eastAsia="仿宋_GB2312"/>
          <w:b w:val="0"/>
          <w:sz w:val="32"/>
        </w:rPr>
        <w:t>11.住房保障支出(类)住房改革支出(款)住房公积金(项):支出决算数为16.96万元，比上年决算减少1.71万元，下降9.16%,主要原因是：在职人员减少，住房公积金缴费减少。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2024年度一般公共预算财政拨款基本支出221.44万元，其中：</w:t>
      </w:r>
      <w:r>
        <w:rPr>
          <w:rFonts w:ascii="仿宋_GB2312" w:hAnsi="仿宋_GB2312" w:eastAsia="仿宋_GB2312"/>
          <w:b/>
          <w:sz w:val="32"/>
        </w:rPr>
        <w:t>人员经费212.72万元，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奖励金。</w:t>
      </w:r>
    </w:p>
    <w:p>
      <w:pPr>
        <w:spacing w:line="580" w:lineRule="exact"/>
        <w:ind w:firstLine="640"/>
        <w:jc w:val="both"/>
      </w:pPr>
      <w:r>
        <w:rPr>
          <w:rFonts w:ascii="仿宋_GB2312" w:hAnsi="仿宋_GB2312" w:eastAsia="仿宋_GB2312"/>
          <w:b/>
          <w:sz w:val="32"/>
        </w:rPr>
        <w:t>公用经费8.72万元，</w:t>
      </w:r>
      <w:r>
        <w:rPr>
          <w:rFonts w:ascii="仿宋_GB2312" w:hAnsi="仿宋_GB2312" w:eastAsia="仿宋_GB2312"/>
          <w:b w:val="0"/>
          <w:sz w:val="32"/>
        </w:rPr>
        <w:t>包括：办公费、印刷费、水费、电费、邮电费、差旅费、公务用车运行维护费、其他交通费用。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2024年度财政拨款“三公”经费支出0.50万元，</w:t>
      </w:r>
      <w:r>
        <w:rPr>
          <w:rFonts w:ascii="仿宋_GB2312" w:hAnsi="仿宋_GB2312" w:eastAsia="仿宋_GB2312"/>
          <w:b w:val="0"/>
          <w:sz w:val="32"/>
        </w:rPr>
        <w:t>比上年减少0.20万元，下降28.57%，主要原因是：严格落实中央八项规定精神，厉行节约，减少公务用车运行维护费。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公务用车购置及运行维护费支出0.50万元，占100.00%，比上年减少0.20万元，下降28.57%，主要原因是：严格落实中央八项规定精神，厉行节约，减少公务用车运行维护费。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0.50万元，其中：公务用车购置费0.00万元，公务用车运行维护费0.50万元。公务用车运行维护费开支内容包括车辆加油费、维修费、保险费、审车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0.50万元，决算数0.50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0.50万元，决算数0.50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2024年度尼勒克县医疗保障局（行政单位和参照公务员法管理事业单位）机关运行经费支出8.72万元，比上年增加3.76万元，增长75.81%，主要原因是：增加办公楼维修费。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16.46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376.12万元，实际执行总额376.12万元；预算绩效评价项目4个，全年预算数861.51万元，全年执行数861.51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尼勒克县医疗保障局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1,090.47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376.12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376.12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973.45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261.02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261.02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医疗保障工作坚持以习近平新时代中国特色社会主义思想为指导，深入贯彻党的二十大、自治区党委十届七次全会及自治州党委工作会议精神，按照党中央、国务院关于医疗保障工作的决策部署，立足新发展阶段，完整、准确、全面贯彻新发展理念，构建新发展格局。确保全县参保群众依法享受医保政策范围内的医保待遇，强化部门职能管理，提高医保局更好服务本县人民及各部门的水平。本年度全县基本医疗参保率达到94%及以上，特殊群体参保率达到100%，举办医保培训班次数大于4次，DRG付费方式改革方式覆盖率达到95%。</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基本医疗参保率达到95.07%，特殊群体参保率达到100%，举办医保培训班次数达到5期，DRG付费方式改革方式覆盖率达到100%。确保全县参保群众依法享受医保政策范围内的医保待遇，强化部门职能管理，提高医保局更好服务本县人民及各部门的水平。</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基本医疗参保率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医保局2024年工作计划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95.07%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特殊群体参保率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医保局2024年工作计划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举办医保培训班次数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&gt;=4期</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医保局2024年工作计划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5期</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DRG付费方式改革方式覆盖率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医保局2024年工作计划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尼勒克县医疗保障局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尼勒克县医疗保障局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用于发放2024年就业见习生补助工资，保障大学生就业率；其他业务活动费用。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工资及补助发放人数达到2人，发放次数达到10次，资金发放准确率达到100%，发放就业见习生补助平均标准1540元/人/月。项目实际支出3.08万元。通过项目的实施，有效促进经济社会可持续发展、提高就业进习生的积极性的效益。</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指标1：工资及补助发放人数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指标1：发放就业见习补贴工资平均标准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=1540元/人/月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1540元/人/月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指标1：促进经济社会可持续发展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指标2：提高就业见习生的积极性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2024年自治区财政全民参保及医疗服务经费补助项目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尼勒克县医疗保障局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尼勒克县医疗保障局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自治区全民参保及医疗服务经费专项用于：医疗保险代办员2人生活补助，每月每人770元，下乡检查油费5000元，办公费8520元（含灵活就业人员意外保险）。保障全民参保及医疗工作顺利开展，增加参保群众幸福感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保障下乡检查车辆达到1辆，医疗保障代办员补助人数达到2人，保障办公人员数量达到14人，资金支付及时率达到100%，医疗保险代办员补助标准770元/人，人均运行经费数922.95元/人，车辆运行成本8608.77元/辆。项目实际支出3.2万元。通过项目的实施，提高工作人员的工作积极性。</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指标1：保障下乡检查车辆数量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指标2：医疗保险代办员补助人数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指标3：保障办公人员数量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指标1：医疗保险代办员补助标准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=770元/人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770元/人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指标2：人均运转经费数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&lt;=608元/人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922.95元/人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指标3：车辆运行成本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=5000元/辆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8608.77元/辆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指标1：提高工作人员的工作积极性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人身意外伤害保险补助资金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尼勒克县医疗保障局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尼勒克县医疗保障局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151.60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151.60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151.60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151.60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151.60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151.60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2024年全县享受人身意外伤害保险补助153362人，每人每年10元的筹资标准，保险费由各级财政安排，个人不缴费。保障人身意外伤害保险对象经济负担减轻，社会满意度得到提升。</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人身意外伤害补助人数达到15.16万人，人身意外伤害保险覆盖率达到100%，当年各级财政补助资金到位率达到100%，项目完成及时率达到95%，人身意外伤害人均补助标准标准为10元/人。项目实际支出151.6万元。通过项目的实施达到了减轻补助人员就医经济负担的效益，参保对象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指标1：人身意外伤害保险补助人数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&gt;=15.16万人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15.16万人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指标2：人身意外伤害保险保障覆盖率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指标3：当年各级财政补助资金到位率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指标2：项目完成及时率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指标1：人身意外伤害人均补助标准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指标1：减轻补助人员就医经济负担</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有效减轻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按照序时进度完成工作。</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指标1：参保对象满意度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按照序时进度完成工作。</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城乡居民医疗保险补助资金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尼勒克县医疗保障局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尼勒克县医疗保障局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742.57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703.63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703.63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742.57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703.63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703.63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积极推进全民参保138540人，城乡居民基本医疗保险参保率稳定在95%以上；全面实施大病保险制度，减轻参保人员就医负担，缓解社会矛盾,受益群众满意度95%以上。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城乡居民医疗参保人数达到131174人，城乡居民基本医疗综合参保率达到95.07%，参保人员政策范围内住院报销比例达到80%，补助资金支付及时率100%，城乡居民医疗保险补助标准为53.6元，项目实际支出703.63万元，通过项目的实施，有效减轻参保人员就医经济负担，受益群众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城乡居民医疗参保人数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&gt;=131714人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131714人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131702人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城乡居民基本医保综合参保率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参保人员政策范围内住院费用报销比例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城乡居民医疗保险补助标准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=53.60元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53.6元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=51.2元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减轻参保人员就医经济负担</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明显减轻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明显减轻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