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尼勒克县加哈乌拉斯台乡中心小学2024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贯彻执行党的教育方针政策，负责全校教学事务的贯彻、落实，指导和协调教务系统各科室的教学及相关技术改造、建设等工作；起草学校工作计划、工作总结、报告、决议、通知、规章制度，审核以学校党政名义上报和下发的各类文件，及时完成文件宣传、落实的任务；深化教育教学改革，全面推进素质教育，促进教学质量提高，发展学生的综做好学校党的建设工作，按照干部管理权限，负责干部推荐工作，指导学校工会、少先队等群众组织工作，关心教职工的思想动态和文化生活，帮助教职工解决生活中的困难和问题。对发生重大事故的家庭及时慰问并家访，抓好学校精神文明建设；加强德育工作队伍建设，做好班主任培训工作，与工会、共青团组织密切配合，开展师德教育，提高教师职业道德水平，指导班主任制定工作计划，并制定考核、督导、检查、总结和交流经验。全面落实学校安全工作责任制，层层签订学校安全工作责任书，把学校安全工作任务分解到各处室、部门和岗位，并负责检查、督导落实，制定学校设施设备安全管理工作规章制度，做好学校设备设施安全管理工作强化教育科学研究工作，开展教育教学研究；完成上级部门交办的其他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尼勒克县加哈乌拉斯台乡中心小学2024年度，实有人数154人，其中：在职人员104人，增加0人；离休人员0人，增加0人；退休人员50人,增加1人。</w:t>
      </w:r>
    </w:p>
    <w:p>
      <w:pPr>
        <w:spacing w:line="580" w:lineRule="exact"/>
        <w:ind w:firstLine="640"/>
        <w:jc w:val="both"/>
      </w:pPr>
      <w:r>
        <w:rPr>
          <w:rFonts w:ascii="仿宋_GB2312" w:hAnsi="仿宋_GB2312" w:eastAsia="仿宋_GB2312"/>
          <w:sz w:val="32"/>
        </w:rPr>
        <w:t>尼勒克县加哈乌拉斯台乡中心小学无下属预算单位，下设5个科室，分别是：德育室、后勤室、办公室、党建室、教务室。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2024年度收入总计2,153.02万元，</w:t>
      </w:r>
      <w:r>
        <w:rPr>
          <w:rFonts w:ascii="仿宋_GB2312" w:hAnsi="仿宋_GB2312" w:eastAsia="仿宋_GB2312"/>
          <w:b w:val="0"/>
          <w:sz w:val="32"/>
        </w:rPr>
        <w:t>其中：本年收入合计2,151.59万元，使用非财政拨款结余（含专用结余）0.00万元，年初结转和结余1.42万元。</w:t>
      </w:r>
    </w:p>
    <w:p>
      <w:pPr>
        <w:spacing w:line="580" w:lineRule="exact"/>
        <w:ind w:firstLine="640"/>
        <w:jc w:val="both"/>
      </w:pPr>
      <w:r>
        <w:rPr>
          <w:rFonts w:ascii="仿宋_GB2312" w:hAnsi="仿宋_GB2312" w:eastAsia="仿宋_GB2312"/>
          <w:b/>
          <w:sz w:val="32"/>
        </w:rPr>
        <w:t>2024年度支出总计2,153.02万元，</w:t>
      </w:r>
      <w:r>
        <w:rPr>
          <w:rFonts w:ascii="仿宋_GB2312" w:hAnsi="仿宋_GB2312" w:eastAsia="仿宋_GB2312"/>
          <w:b w:val="0"/>
          <w:sz w:val="32"/>
        </w:rPr>
        <w:t>其中：本年支出合计2,142.50万元，结余分配0.00万元，年末结转和结余10.52万元。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增加41.18万元，增长1.95%，主要原因是：本年在职人员工资调增，社保调增，本年补缴部分县配套2021年-2023年保教费及学前伙食费，相应支出增加。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本年收入2,151.59万元，</w:t>
      </w:r>
      <w:r>
        <w:rPr>
          <w:rFonts w:ascii="仿宋_GB2312" w:hAnsi="仿宋_GB2312" w:eastAsia="仿宋_GB2312"/>
          <w:b w:val="0"/>
          <w:sz w:val="32"/>
        </w:rPr>
        <w:t>其中：财政拨款收入2,117.69万元，占98.42%；上级补助收入0.00万元，占0.00%；事业收入0.00万元，占0.00%；经营收入0.00万元，占0.00%；附属单位上缴收入0.00万元，占0.00%；其他收入33.91万元，占1.58%。</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本年支出2,142.50万元，</w:t>
      </w:r>
      <w:r>
        <w:rPr>
          <w:rFonts w:ascii="仿宋_GB2312" w:hAnsi="仿宋_GB2312" w:eastAsia="仿宋_GB2312"/>
          <w:b w:val="0"/>
          <w:sz w:val="32"/>
        </w:rPr>
        <w:t>其中：基本支出2,142.50万元，占100.00%；项目支出0.00万元，占0.00%；上缴上级支出0.00万元，占0.00%；经营支出0.00万元，占0.00%；对附属单位补助支出0.00万元，占0.00%。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2024年度财政拨款收入总计2,117.69万元，</w:t>
      </w:r>
      <w:r>
        <w:rPr>
          <w:rFonts w:ascii="仿宋_GB2312" w:hAnsi="仿宋_GB2312" w:eastAsia="仿宋_GB2312"/>
          <w:b w:val="0"/>
          <w:sz w:val="32"/>
        </w:rPr>
        <w:t>其中：年初财政拨款结转和结余0.00万元，本年财政拨款收入2,117.69万元。</w:t>
      </w:r>
      <w:r>
        <w:rPr>
          <w:rFonts w:ascii="仿宋_GB2312" w:hAnsi="仿宋_GB2312" w:eastAsia="仿宋_GB2312"/>
          <w:b/>
          <w:sz w:val="32"/>
        </w:rPr>
        <w:t>财政拨款支出总计2,117.69万元，</w:t>
      </w:r>
      <w:r>
        <w:rPr>
          <w:rFonts w:ascii="仿宋_GB2312" w:hAnsi="仿宋_GB2312" w:eastAsia="仿宋_GB2312"/>
          <w:b w:val="0"/>
          <w:sz w:val="32"/>
        </w:rPr>
        <w:t>其中：年末财政拨款结转和结余0.00万元，本年财政拨款支出2,117.69万元。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增加20.06万元，增长0.96%，主要原因是：本年在职人员工资调增，社保调增，本年补缴部分县配套2021年-2023年保教费及学前伙食费，相应支出增加。</w:t>
      </w:r>
      <w:r>
        <w:rPr>
          <w:rFonts w:ascii="仿宋_GB2312" w:hAnsi="仿宋_GB2312" w:eastAsia="仿宋_GB2312"/>
          <w:b/>
          <w:sz w:val="32"/>
        </w:rPr>
        <w:t>与年初预算相比，</w:t>
      </w:r>
      <w:r>
        <w:rPr>
          <w:rFonts w:ascii="仿宋_GB2312" w:hAnsi="仿宋_GB2312" w:eastAsia="仿宋_GB2312"/>
          <w:b w:val="0"/>
          <w:sz w:val="32"/>
        </w:rPr>
        <w:t>年初预算数2,004.73万元，决算数2,117.69万元，预决算差异率5.63%，主要原因是：年中追加人员部分经费，追加幼儿伙食及绩效工资，导致预决算存在差异。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2024年度一般公共预算财政拨款支出2,116.19万元，</w:t>
      </w:r>
      <w:r>
        <w:rPr>
          <w:rFonts w:ascii="仿宋_GB2312" w:hAnsi="仿宋_GB2312" w:eastAsia="仿宋_GB2312"/>
          <w:b w:val="0"/>
          <w:sz w:val="32"/>
        </w:rPr>
        <w:t>占本年支出合计的98.77%。</w:t>
      </w:r>
      <w:r>
        <w:rPr>
          <w:rFonts w:ascii="仿宋_GB2312" w:hAnsi="仿宋_GB2312" w:eastAsia="仿宋_GB2312"/>
          <w:b/>
          <w:sz w:val="32"/>
        </w:rPr>
        <w:t>与上年相比，</w:t>
      </w:r>
      <w:r>
        <w:rPr>
          <w:rFonts w:ascii="仿宋_GB2312" w:hAnsi="仿宋_GB2312" w:eastAsia="仿宋_GB2312"/>
          <w:b w:val="0"/>
          <w:sz w:val="32"/>
        </w:rPr>
        <w:t>增加21.06万元，增长1.01%，主要原因是：本年在职人员工资调增，社保调增，本年补缴部分县配套2021年-2023年保教费及学前伙食费，相应支出增加。</w:t>
      </w:r>
      <w:r>
        <w:rPr>
          <w:rFonts w:ascii="仿宋_GB2312" w:hAnsi="仿宋_GB2312" w:eastAsia="仿宋_GB2312"/>
          <w:b/>
          <w:sz w:val="32"/>
        </w:rPr>
        <w:t>与年初预算相比,</w:t>
      </w:r>
      <w:r>
        <w:rPr>
          <w:rFonts w:ascii="仿宋_GB2312" w:hAnsi="仿宋_GB2312" w:eastAsia="仿宋_GB2312"/>
          <w:b w:val="0"/>
          <w:sz w:val="32"/>
        </w:rPr>
        <w:t>年初预算数2,001.73万元，决算数2,116.19万元，预决算差异率5.72%，主要原因是：年中追加人员部分经费，追加幼儿伙食及绩效工资，导致预决算存在差异。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1.教育支出(类)1,713.00万元,占80.95%。</w:t>
      </w:r>
    </w:p>
    <w:p>
      <w:pPr>
        <w:spacing w:line="580" w:lineRule="exact"/>
        <w:ind w:firstLine="640"/>
        <w:jc w:val="both"/>
      </w:pPr>
      <w:r>
        <w:rPr>
          <w:rFonts w:ascii="仿宋_GB2312" w:hAnsi="仿宋_GB2312" w:eastAsia="仿宋_GB2312"/>
          <w:b w:val="0"/>
          <w:sz w:val="32"/>
        </w:rPr>
        <w:t>2.社会保障和就业支出(类)200.55万元,占9.48%。</w:t>
      </w:r>
    </w:p>
    <w:p>
      <w:pPr>
        <w:spacing w:line="580" w:lineRule="exact"/>
        <w:ind w:firstLine="640"/>
        <w:jc w:val="both"/>
      </w:pPr>
      <w:r>
        <w:rPr>
          <w:rFonts w:ascii="仿宋_GB2312" w:hAnsi="仿宋_GB2312" w:eastAsia="仿宋_GB2312"/>
          <w:b w:val="0"/>
          <w:sz w:val="32"/>
        </w:rPr>
        <w:t>3.卫生健康支出(类)60.29万元,占2.85%。</w:t>
      </w:r>
    </w:p>
    <w:p>
      <w:pPr>
        <w:spacing w:line="580" w:lineRule="exact"/>
        <w:ind w:firstLine="640"/>
        <w:jc w:val="both"/>
      </w:pPr>
      <w:r>
        <w:rPr>
          <w:rFonts w:ascii="仿宋_GB2312" w:hAnsi="仿宋_GB2312" w:eastAsia="仿宋_GB2312"/>
          <w:b w:val="0"/>
          <w:sz w:val="32"/>
        </w:rPr>
        <w:t>4.住房保障支出(类)142.34万元,占6.73%。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381.92万元，比上年决算增加56.76万元，增长17.46%,主要原因是：本年在职人员工资调增，社保调增，本年补缴部分县配套2021年-2023年保教费及学前伙食费，相应支出增加。</w:t>
      </w:r>
    </w:p>
    <w:p>
      <w:pPr>
        <w:spacing w:line="580" w:lineRule="exact"/>
        <w:ind w:firstLine="640"/>
        <w:jc w:val="both"/>
      </w:pPr>
      <w:r>
        <w:rPr>
          <w:rFonts w:ascii="仿宋_GB2312" w:hAnsi="仿宋_GB2312" w:eastAsia="仿宋_GB2312"/>
          <w:b w:val="0"/>
          <w:sz w:val="32"/>
        </w:rPr>
        <w:t>2.教育支出(类)普通教育(款)小学教育(项):支出决算数为1,331.08万元，比上年决算减少0.57万元，下降0.04%,主要原因是：本年在职人员调入调出，人员职级不同，缴费基数不同，导致人员工资及绩效较上年减少。</w:t>
      </w:r>
    </w:p>
    <w:p>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33.65万元，比上年决算增加11.53万元，增长52.12%,主要原因是：本年增加退休人员基础绩效奖，退休费支出增加。另外增加退休人员。</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151.25万元，比上年决算增加11.22万元，增长8.01%,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9.53万元，比上年决算减少31.67万元，下降76.87%,主要原因是：本年新增退休人员较上年减少，职业年金缴费较上年减少。</w:t>
      </w:r>
    </w:p>
    <w:p>
      <w:pPr>
        <w:spacing w:line="580" w:lineRule="exact"/>
        <w:ind w:firstLine="640"/>
        <w:jc w:val="both"/>
      </w:pPr>
      <w:r>
        <w:rPr>
          <w:rFonts w:ascii="仿宋_GB2312" w:hAnsi="仿宋_GB2312" w:eastAsia="仿宋_GB2312"/>
          <w:b w:val="0"/>
          <w:sz w:val="32"/>
        </w:rPr>
        <w:t>6.社会保障和就业支出(类)抚恤(款)死亡抚恤(项):支出决算数为6.12万元，比上年决算减少14.45万元，下降70.25%,主要原因是：本年补发以前年度死亡人员抚恤金，支出较上年减少。</w:t>
      </w:r>
    </w:p>
    <w:p>
      <w:pPr>
        <w:spacing w:line="580" w:lineRule="exact"/>
        <w:ind w:firstLine="640"/>
        <w:jc w:val="both"/>
      </w:pPr>
      <w:r>
        <w:rPr>
          <w:rFonts w:ascii="仿宋_GB2312" w:hAnsi="仿宋_GB2312" w:eastAsia="仿宋_GB2312"/>
          <w:b w:val="0"/>
          <w:sz w:val="32"/>
        </w:rPr>
        <w:t>7.卫生健康支出(类)行政事业单位医疗(款)事业单位医疗(项):支出决算数为60.29万元，比上年决算减少16.27万元，下降21.25%,主要原因是：本年在职人员调入调出，人员职级不同，缴费基数不同，导致事业单位医疗较上年减少。</w:t>
      </w:r>
    </w:p>
    <w:p>
      <w:pPr>
        <w:spacing w:line="580" w:lineRule="exact"/>
        <w:ind w:firstLine="640"/>
        <w:jc w:val="both"/>
      </w:pPr>
      <w:r>
        <w:rPr>
          <w:rFonts w:ascii="仿宋_GB2312" w:hAnsi="仿宋_GB2312" w:eastAsia="仿宋_GB2312"/>
          <w:b w:val="0"/>
          <w:sz w:val="32"/>
        </w:rPr>
        <w:t>8.住房保障支出(类)住房改革支出(款)住房公积金(项):支出决算数为142.34万元，比上年决算增加4.52万元，增长3.28%,主要原因是：人员工资基数调增，公积金缴费基数上涨，相应支出增加。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2024年度一般公共预算财政拨款基本支出2,116.19万元，其中：</w:t>
      </w:r>
      <w:r>
        <w:rPr>
          <w:rFonts w:ascii="仿宋_GB2312" w:hAnsi="仿宋_GB2312" w:eastAsia="仿宋_GB2312"/>
          <w:b/>
          <w:sz w:val="32"/>
        </w:rPr>
        <w:t>人员经费1,994.34万元，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助学金、奖励金。</w:t>
      </w:r>
    </w:p>
    <w:p>
      <w:pPr>
        <w:spacing w:line="580" w:lineRule="exact"/>
        <w:ind w:firstLine="640"/>
        <w:jc w:val="both"/>
      </w:pPr>
      <w:r>
        <w:rPr>
          <w:rFonts w:ascii="仿宋_GB2312" w:hAnsi="仿宋_GB2312" w:eastAsia="仿宋_GB2312"/>
          <w:b/>
          <w:sz w:val="32"/>
        </w:rPr>
        <w:t>公用经费121.85万元，</w:t>
      </w:r>
      <w:r>
        <w:rPr>
          <w:rFonts w:ascii="仿宋_GB2312" w:hAnsi="仿宋_GB2312" w:eastAsia="仿宋_GB2312"/>
          <w:b w:val="0"/>
          <w:sz w:val="32"/>
        </w:rPr>
        <w:t>包括：办公费、印刷费、水费、电费、邮电费、取暖费、物业管理费、维修（护）费、培训费、劳务费、其他交通费用、办公设备购置。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2024年度政府性基金预算财政拨款收入总计1.50万元，</w:t>
      </w:r>
      <w:r>
        <w:rPr>
          <w:rFonts w:ascii="仿宋_GB2312" w:hAnsi="仿宋_GB2312" w:eastAsia="仿宋_GB2312"/>
          <w:b w:val="0"/>
          <w:sz w:val="32"/>
        </w:rPr>
        <w:t>其中：年初结转和结余0.00万元，本年收入1.50万元。</w:t>
      </w:r>
      <w:r>
        <w:rPr>
          <w:rFonts w:ascii="仿宋_GB2312" w:hAnsi="仿宋_GB2312" w:eastAsia="仿宋_GB2312"/>
          <w:b/>
          <w:sz w:val="32"/>
        </w:rPr>
        <w:t>政府性基金预算财政拨款支出总计1.50万元，</w:t>
      </w:r>
      <w:r>
        <w:rPr>
          <w:rFonts w:ascii="仿宋_GB2312" w:hAnsi="仿宋_GB2312" w:eastAsia="仿宋_GB2312"/>
          <w:b w:val="0"/>
          <w:sz w:val="32"/>
        </w:rPr>
        <w:t>其中：年末结转和结余0.00万元，本年支出1.50万元。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减少1.00万元，下降40.00%，主要原因是：本年减少少年宫经费。</w:t>
      </w:r>
      <w:r>
        <w:rPr>
          <w:rFonts w:ascii="仿宋_GB2312" w:hAnsi="仿宋_GB2312" w:eastAsia="仿宋_GB2312"/>
          <w:b/>
          <w:sz w:val="32"/>
        </w:rPr>
        <w:t>与年初预算相比，</w:t>
      </w:r>
      <w:r>
        <w:rPr>
          <w:rFonts w:ascii="仿宋_GB2312" w:hAnsi="仿宋_GB2312" w:eastAsia="仿宋_GB2312"/>
          <w:b w:val="0"/>
          <w:sz w:val="32"/>
        </w:rPr>
        <w:t>年初预算数3.00万元，决算数1.50万元，预决算差异率-50.00%，主要原因是：年中调减少年宫经费，导致预决算存在差异。</w:t>
      </w:r>
    </w:p>
    <w:p>
      <w:pPr>
        <w:spacing w:line="580" w:lineRule="exact"/>
        <w:ind w:firstLine="640"/>
        <w:jc w:val="both"/>
      </w:pPr>
      <w:r>
        <w:rPr>
          <w:rFonts w:ascii="仿宋_GB2312" w:hAnsi="仿宋_GB2312" w:eastAsia="仿宋_GB2312"/>
          <w:b w:val="0"/>
          <w:sz w:val="32"/>
        </w:rPr>
        <w:t>政府性基金预算财政拨款支出1.50万元。</w:t>
      </w:r>
    </w:p>
    <w:p>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1.其他支出(类)彩票公益金安排的支出(款)用于教育事业的彩票公益金支出(项):支出决算数为1.50万元，比上年决算减少1.00万元，下降40.00%,主要原因是：本年减少少年宫经费。</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2024年度尼勒克县加哈乌拉斯台乡中心小学（事业单位）公用经费支出123.35万元，比上年增加24.13万元，增长24.32%，主要原因是：本年业务量增加，公用经费增加。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9,667.07平方米，价值954.92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2,142.49万元，实际执行总额2,142.49万元；预算绩效评价项目1个，全年预算数24.84万元，全年执行数24.81万元。预算绩效管理取得的成效：一是通过对预算执行过程的动态监控和绩效跟踪，推动预算按计划落实，减少资金沉淀，提高资金周转效率；二是将绩效结果与教学成果、学生发展等指标关联，促使学校更注重教育教学实效，推动教育教学资源向提升育人质量焦点，推动师生参加各项技能比赛提升自己，开展丰富多彩的活动，让学生全面发展，提高师生整体素质，推动学校可持续发展。发现的问题及原因：绩效管理专业人员匮乏，规范管理有盲点。预算绩效管理工作的覆盖面广、专业性强，不论预算单位在开展日常管理，还是财政部门组织实施绩效评价，都需要具备一定专业素养和实战经验的人力资源。下一步改进措施：一是针对教职工开展预算绩效培训，明确各岗位在绩效管理中的职责；二是定期公开绩效评价结果，反馈问题清单及改进建议，形成“评价-反馈-整改-提升”的闭环。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尼勒克县加哈乌拉斯台乡中心小学</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2,070.29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2,142.49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2,142.49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114.19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153.98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153.98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1,861.10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1,963.70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1,963.70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95.00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24.81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24.81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1、注重反思和精讲精练，着力构建高效课堂，全面提升教学质量。2.认真开展家长会，及时了解学生在家的思想动态，帮助做好家长及学生的心理疏导工作。3.优化社团课程，对学生不感兴趣的社团进行取缔，鼓励教师开设有特色、有趣味的社团。4.加强师生安全教育，以安全法律法规为重点，有计划的开展安全法规、安全常识教育，不断增强师生的自我安全防范意识。5.加强师德建设，促进教师队伍的发展。</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学前教育计划招生人数达到140人，义务教育计划招生人数达到527人，开展教研、教学活动次数达到8次，开展“三进两联一交友”活动次数达到10次，开展学生参加社团活动次数达到10次，学生升学率达到100%。有效提高师生整体素质，推动学校可持续发展。</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指标1：学前教育计划招生人数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&gt;=140人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在园幼儿花名册</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指标2：义务教育计划招生人数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&gt;=527人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在校学生花名册</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527人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指标3：开展教研、教学活动次数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学校教务计划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指标4：开展“三进两连一交友”活动次数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学校德育计划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指标5：学生参加社团活动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学校教务计划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质量目标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指标1：学生升学率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事业统计报表（升学率）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尼勒克县加哈乌拉斯台乡中心小学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尼勒克县加哈乌拉斯台乡中心小学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24.84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24.84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24.81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99.88%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24.84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24.84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保障学生正常托管，减轻家长看管负担，促进学生健康成长。提高教师工作积极性及幸福感。</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br/>
              <w:t>截至2024年12月底，本项目已完成课后托管服务人数达到44人，课后托管社团成果展示次数达到3次，托管服务学生人数达到527人，托管学生覆盖率达到100%，项目实际支出达到24.84万元，通过项目的实施，提高学生课余时间利用率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指标1：课后托管服务人数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指标2：课后托管社团成果展示次数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指标3：托管服务学生人数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&gt;=522人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527人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指标1：托管学生覆盖率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指标1：教师托管费发放总金额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&lt;=22.96万元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22.96万元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指标3：保障运转水电办公费等经费数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&lt;=1.88万元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指标1：提高学生课余时间利用率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