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尼勒克县供销合作社联合社本级2024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1、贯彻落实中、省、市、县有关农村经济工作和供销合作社发展的方针、政策。参与研究和实施农村经济改革发展规划，研究制定全县合作经济发展规划，促进全县合作经济的发展。</w:t>
      </w:r>
    </w:p>
    <w:p>
      <w:pPr>
        <w:spacing w:line="580" w:lineRule="exact"/>
        <w:ind w:firstLine="640"/>
        <w:jc w:val="both"/>
      </w:pPr>
      <w:r>
        <w:rPr>
          <w:rFonts w:ascii="仿宋_GB2312" w:hAnsi="仿宋_GB2312" w:eastAsia="仿宋_GB2312"/>
          <w:sz w:val="32"/>
        </w:rPr>
        <w:t>2、指导全县供销社的改革发展，负责县本级合作经济发展和社有企业的改革发展稳定。</w:t>
      </w:r>
    </w:p>
    <w:p>
      <w:pPr>
        <w:spacing w:line="580" w:lineRule="exact"/>
        <w:ind w:firstLine="640"/>
        <w:jc w:val="both"/>
      </w:pPr>
      <w:r>
        <w:rPr>
          <w:rFonts w:ascii="仿宋_GB2312" w:hAnsi="仿宋_GB2312" w:eastAsia="仿宋_GB2312"/>
          <w:sz w:val="32"/>
        </w:rPr>
        <w:t>3、指导和管理全县供销社系统开展农村合作金融服务工作，为“三农”提供融资平台，促进农村经济发展。</w:t>
      </w:r>
    </w:p>
    <w:p>
      <w:pPr>
        <w:spacing w:line="580" w:lineRule="exact"/>
        <w:ind w:firstLine="640"/>
        <w:jc w:val="both"/>
      </w:pPr>
      <w:r>
        <w:rPr>
          <w:rFonts w:ascii="仿宋_GB2312" w:hAnsi="仿宋_GB2312" w:eastAsia="仿宋_GB2312"/>
          <w:sz w:val="32"/>
        </w:rPr>
        <w:t>4、指导全县供销合作社的组织体系建设，促进基层社加强民主管理，负责农村合作经济的指导、服务和协调，推动多种形式的经济合作与联合，发挥群体联合优势。</w:t>
      </w:r>
    </w:p>
    <w:p>
      <w:pPr>
        <w:spacing w:line="580" w:lineRule="exact"/>
        <w:ind w:firstLine="640"/>
        <w:jc w:val="both"/>
      </w:pPr>
      <w:r>
        <w:rPr>
          <w:rFonts w:ascii="仿宋_GB2312" w:hAnsi="仿宋_GB2312" w:eastAsia="仿宋_GB2312"/>
          <w:sz w:val="32"/>
        </w:rPr>
        <w:t>5、在全县农村建设现代流通服务网络体系，培育农业生产资料、日用消费品、农副产品、再生资源回收利用、烟花爆竹五大经营服务网络。</w:t>
      </w:r>
    </w:p>
    <w:p>
      <w:pPr>
        <w:spacing w:line="580" w:lineRule="exact"/>
        <w:ind w:firstLine="640"/>
        <w:jc w:val="both"/>
      </w:pPr>
      <w:r>
        <w:rPr>
          <w:rFonts w:ascii="仿宋_GB2312" w:hAnsi="仿宋_GB2312" w:eastAsia="仿宋_GB2312"/>
          <w:sz w:val="32"/>
        </w:rPr>
        <w:t>6、指导和推动全县新型合作经济组织建设。发展各类专业合作社、专业合作社联合社和消费合作社，推动合作经济向农业产业化经营全程和城乡社会化服务全方位拓展；开拓日用消费品“进村入户”和农产品“进城入超”的城乡大流通市场格局，发展农产品电子商务等现代流通业态。</w:t>
      </w:r>
    </w:p>
    <w:p>
      <w:pPr>
        <w:spacing w:line="580" w:lineRule="exact"/>
        <w:ind w:firstLine="640"/>
        <w:jc w:val="both"/>
      </w:pPr>
      <w:r>
        <w:rPr>
          <w:rFonts w:ascii="仿宋_GB2312" w:hAnsi="仿宋_GB2312" w:eastAsia="仿宋_GB2312"/>
          <w:sz w:val="32"/>
        </w:rPr>
        <w:t>7、负责管理运营本级社有资产，对基层企业行使出资人的职能；监督指导全县各基层社有资产的管理经营。</w:t>
      </w:r>
    </w:p>
    <w:p>
      <w:pPr>
        <w:spacing w:line="580" w:lineRule="exact"/>
        <w:ind w:firstLine="640"/>
        <w:jc w:val="both"/>
      </w:pPr>
      <w:r>
        <w:rPr>
          <w:rFonts w:ascii="仿宋_GB2312" w:hAnsi="仿宋_GB2312" w:eastAsia="仿宋_GB2312"/>
          <w:sz w:val="32"/>
        </w:rPr>
        <w:t>8、负责供销社人才队伍建设和干部职工培训教育，为全县各类新型合作经济组织和网点提供人才培育、政策咨询和技术服务。</w:t>
      </w:r>
    </w:p>
    <w:p>
      <w:pPr>
        <w:spacing w:line="580" w:lineRule="exact"/>
        <w:ind w:firstLine="640"/>
        <w:jc w:val="both"/>
      </w:pPr>
      <w:r>
        <w:rPr>
          <w:rFonts w:ascii="仿宋_GB2312" w:hAnsi="仿宋_GB2312" w:eastAsia="仿宋_GB2312"/>
          <w:sz w:val="32"/>
        </w:rPr>
        <w:t>9、负责县级供销社党的建设、党风廉政建设和精神文明建设以及安全生产、信访稳定工作。</w:t>
      </w:r>
    </w:p>
    <w:p>
      <w:pPr>
        <w:spacing w:line="580" w:lineRule="exact"/>
        <w:ind w:firstLine="640"/>
        <w:jc w:val="both"/>
      </w:pPr>
      <w:r>
        <w:rPr>
          <w:rFonts w:ascii="仿宋_GB2312" w:hAnsi="仿宋_GB2312" w:eastAsia="仿宋_GB2312"/>
          <w:sz w:val="32"/>
        </w:rPr>
        <w:t>10、完成县委、县政府交办的其他工作。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尼勒克县供销合作社联合社本级2024年度，实有人数15人，其中：在职人员8人，增加1人；离休人员1人，增加0人；退休人员6人,减少1人。</w:t>
      </w:r>
    </w:p>
    <w:p>
      <w:pPr>
        <w:spacing w:line="580" w:lineRule="exact"/>
        <w:ind w:firstLine="640"/>
        <w:jc w:val="both"/>
      </w:pPr>
      <w:r>
        <w:rPr>
          <w:rFonts w:ascii="仿宋_GB2312" w:hAnsi="仿宋_GB2312" w:eastAsia="仿宋_GB2312"/>
          <w:sz w:val="32"/>
        </w:rPr>
        <w:t>尼勒克县供销合作社联合社本级无下属预算单位，下设3个科室，分别是：财务室、办公室、业务室。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2024年度收入总计197.51万元，</w:t>
      </w:r>
      <w:r>
        <w:rPr>
          <w:rFonts w:ascii="仿宋_GB2312" w:hAnsi="仿宋_GB2312" w:eastAsia="仿宋_GB2312"/>
          <w:b w:val="0"/>
          <w:sz w:val="32"/>
        </w:rPr>
        <w:t>其中：本年收入合计197.51万元，使用非财政拨款结余（含专用结余）0.00万元，年初结转和结余0.00万元。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2024年度支出总计197.51万元，</w:t>
      </w:r>
      <w:r>
        <w:rPr>
          <w:rFonts w:ascii="仿宋_GB2312" w:hAnsi="仿宋_GB2312" w:eastAsia="仿宋_GB2312"/>
          <w:b w:val="0"/>
          <w:sz w:val="32"/>
        </w:rPr>
        <w:t>其中：本年支出合计197.51万元，结余分配0.00万元，年末结转和结余0.00万元。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减少45.06万元，下降18.58%，主要原因是：较上年减少离休干部死亡扶桖金，故本年经费支出减少。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本年收入197.51万元，</w:t>
      </w:r>
      <w:r>
        <w:rPr>
          <w:rFonts w:ascii="仿宋_GB2312" w:hAnsi="仿宋_GB2312" w:eastAsia="仿宋_GB2312"/>
          <w:b w:val="0"/>
          <w:sz w:val="32"/>
        </w:rPr>
        <w:t>其中：财政拨款收入197.51万元，占100.00%；上级补助收入0.00万元，占0.00%；事业收入0.00万元，占0.00%；经营收入0.00万元，占0.00%；附属单位上缴收入0.00万元，占0.00%；其他收入0.00万元，占0.00%。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本年支出197.51万元，</w:t>
      </w:r>
      <w:r>
        <w:rPr>
          <w:rFonts w:ascii="仿宋_GB2312" w:hAnsi="仿宋_GB2312" w:eastAsia="仿宋_GB2312"/>
          <w:b w:val="0"/>
          <w:sz w:val="32"/>
        </w:rPr>
        <w:t>其中：基本支出197.51万元，占100.00%；项目支出0.00万元，占0.00%；上缴上级支出0.00万元，占0.00%；经营支出0.00万元，占0.00%；对附属单位补助支出0.00万元，占0.00%。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2024年度财政拨款收入总计197.51万元，</w:t>
      </w:r>
      <w:r>
        <w:rPr>
          <w:rFonts w:ascii="仿宋_GB2312" w:hAnsi="仿宋_GB2312" w:eastAsia="仿宋_GB2312"/>
          <w:b w:val="0"/>
          <w:sz w:val="32"/>
        </w:rPr>
        <w:t>其中：年初财政拨款结转和结余0.00万元，本年财政拨款收入197.51万元。</w:t>
      </w:r>
      <w:r>
        <w:rPr>
          <w:rFonts w:ascii="仿宋_GB2312" w:hAnsi="仿宋_GB2312" w:eastAsia="仿宋_GB2312"/>
          <w:b/>
          <w:sz w:val="32"/>
        </w:rPr>
        <w:t>财政拨款支出总计197.51万元，</w:t>
      </w:r>
      <w:r>
        <w:rPr>
          <w:rFonts w:ascii="仿宋_GB2312" w:hAnsi="仿宋_GB2312" w:eastAsia="仿宋_GB2312"/>
          <w:b w:val="0"/>
          <w:sz w:val="32"/>
        </w:rPr>
        <w:t>其中：年末财政拨款结转和结余0.00万元，本年财政拨款支出197.51万元。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减少45.06万元，下降18.58%，主要原因是：较上年减少离休干部死亡扶桖金，故本年经费支出减少。</w:t>
      </w:r>
      <w:r>
        <w:rPr>
          <w:rFonts w:ascii="仿宋_GB2312" w:hAnsi="仿宋_GB2312" w:eastAsia="仿宋_GB2312"/>
          <w:b/>
          <w:sz w:val="32"/>
        </w:rPr>
        <w:t>与年初预算相比，</w:t>
      </w:r>
      <w:r>
        <w:rPr>
          <w:rFonts w:ascii="仿宋_GB2312" w:hAnsi="仿宋_GB2312" w:eastAsia="仿宋_GB2312"/>
          <w:b w:val="0"/>
          <w:sz w:val="32"/>
        </w:rPr>
        <w:t>年初预算数206.22万元，决算数197.51万元，预决算差异率-4.22%，主要原因是：2023年9月编制预算时，10月在职转退休1人，相关经费支出减少，导致预决算存在差异。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2024年度一般公共预算财政拨款支出197.51万元，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减少45.06万元，下降18.58%，主要原因是：较上年减少离休干部死亡扶桖金，故本年经费支出减少。</w:t>
      </w:r>
      <w:r>
        <w:rPr>
          <w:rFonts w:ascii="仿宋_GB2312" w:hAnsi="仿宋_GB2312" w:eastAsia="仿宋_GB2312"/>
          <w:b/>
          <w:sz w:val="32"/>
        </w:rPr>
        <w:t>与年初预算相比,</w:t>
      </w:r>
      <w:r>
        <w:rPr>
          <w:rFonts w:ascii="仿宋_GB2312" w:hAnsi="仿宋_GB2312" w:eastAsia="仿宋_GB2312"/>
          <w:b w:val="0"/>
          <w:sz w:val="32"/>
        </w:rPr>
        <w:t>年初预算数206.22万元，决算数197.51万元，预决算差异率-4.22%，主要原因是：2023年9月编制预算时，10月在职转退休1人，相关经费支出减少，导致预决算存在差异。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1.社会保障和就业支出(类)42.98万元,占21.76%。</w:t>
      </w:r>
    </w:p>
    <w:p>
      <w:pPr>
        <w:spacing w:line="580" w:lineRule="exact"/>
        <w:ind w:firstLine="640"/>
        <w:jc w:val="both"/>
      </w:pPr>
      <w:r>
        <w:rPr>
          <w:rFonts w:ascii="仿宋_GB2312" w:hAnsi="仿宋_GB2312" w:eastAsia="仿宋_GB2312"/>
          <w:b w:val="0"/>
          <w:sz w:val="32"/>
        </w:rPr>
        <w:t>2.卫生健康支出(类)6.87万元,占3.48%。</w:t>
      </w:r>
    </w:p>
    <w:p>
      <w:pPr>
        <w:spacing w:line="580" w:lineRule="exact"/>
        <w:ind w:firstLine="640"/>
        <w:jc w:val="both"/>
      </w:pPr>
      <w:r>
        <w:rPr>
          <w:rFonts w:ascii="仿宋_GB2312" w:hAnsi="仿宋_GB2312" w:eastAsia="仿宋_GB2312"/>
          <w:b w:val="0"/>
          <w:sz w:val="32"/>
        </w:rPr>
        <w:t>3.商业服务业等支出(类)137.20万元,占69.46%。</w:t>
      </w:r>
    </w:p>
    <w:p>
      <w:pPr>
        <w:spacing w:line="580" w:lineRule="exact"/>
        <w:ind w:firstLine="640"/>
        <w:jc w:val="both"/>
      </w:pPr>
      <w:r>
        <w:rPr>
          <w:rFonts w:ascii="仿宋_GB2312" w:hAnsi="仿宋_GB2312" w:eastAsia="仿宋_GB2312"/>
          <w:b w:val="0"/>
          <w:sz w:val="32"/>
        </w:rPr>
        <w:t>4.住房保障支出(类)10.45万元,占5.29%。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1.社会保障和就业支出(类)行政事业单位养老支出(款)行政单位离退休(项):支出决算数为0.66万元，比上年决算增加0.53万元，增长407.69%,主要原因是：本年增加退休人员基础绩效奖，退休费支出增加。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2.社会保障和就业支出(类)行政事业单位养老支出(款)事业单位离退休(项):支出决算数为21.30万元，比上年决算减少2.30万元，下降9.75%,主要原因是：本年退休人员自然减员，事业单位离退休经费较上年减少。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13.56万元，比上年决算减少7.27万元，下降34.90%,主要原因是：本年在职人员调入调出，人员职级不同，缴费基数不同，导致单位基本养老保险缴费较上年减少。</w:t>
      </w:r>
    </w:p>
    <w:p>
      <w:pPr>
        <w:spacing w:line="580" w:lineRule="exact"/>
        <w:ind w:firstLine="640"/>
        <w:jc w:val="both"/>
      </w:pPr>
      <w:r>
        <w:rPr>
          <w:rFonts w:ascii="仿宋_GB2312" w:hAnsi="仿宋_GB2312" w:eastAsia="仿宋_GB2312"/>
          <w:b w:val="0"/>
          <w:sz w:val="32"/>
        </w:rPr>
        <w:t>4.社会保障和就业支出(类)抚恤(款)死亡抚恤(项):支出决算数为7.46万元，比上年决算减少20.35万元，下降73.18%,主要原因是：本年新增死亡人员较上年减少，死亡抚恤支出较上年减少。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6.87万元，比上年决算减少2.18万元，下降24.09%,主要原因是：本年在职人员调入调出，人员职级不同，缴费基数不同，导致事业医疗保险缴费较上年减少。</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0.00万元，比上年决算减少0.06万元，下降100.00%,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7.商业服务业等支出(类)商业流通事务(款)行政运行(项):支出决算数为137.20万元，比上年决算减少13.43万元，下降8.92%,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8.住房保障支出(类)住房改革支出(款)住房公积金(项):支出决算数为10.45万元，比上年决算增加0.00万元，增长0.00%,主要原因是：住房公积金经费持平。</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2024年度一般公共预算财政拨款基本支出197.51万元，其中：</w:t>
      </w:r>
      <w:r>
        <w:rPr>
          <w:rFonts w:ascii="仿宋_GB2312" w:hAnsi="仿宋_GB2312" w:eastAsia="仿宋_GB2312"/>
          <w:b/>
          <w:sz w:val="32"/>
        </w:rPr>
        <w:t>人员经费196.79万元，</w:t>
      </w:r>
      <w:r>
        <w:rPr>
          <w:rFonts w:ascii="仿宋_GB2312" w:hAnsi="仿宋_GB2312" w:eastAsia="仿宋_GB2312"/>
          <w:b w:val="0"/>
          <w:sz w:val="32"/>
        </w:rPr>
        <w:t>包括：基本工资、津贴补贴、奖金、绩效工资、机关事业单位基本养老保险缴费、职工基本医疗保险缴费、其他社会保障缴费、住房公积金、离休费、退休费、抚恤金、生活补助、医疗费补助、奖励金。</w:t>
      </w:r>
    </w:p>
    <w:p>
      <w:pPr>
        <w:spacing w:line="580" w:lineRule="exact"/>
        <w:ind w:firstLine="640"/>
        <w:jc w:val="both"/>
      </w:pPr>
      <w:r>
        <w:rPr>
          <w:rFonts w:ascii="仿宋_GB2312" w:hAnsi="仿宋_GB2312" w:eastAsia="仿宋_GB2312"/>
          <w:b/>
          <w:sz w:val="32"/>
        </w:rPr>
        <w:t>公用经费0.71万元，</w:t>
      </w:r>
      <w:r>
        <w:rPr>
          <w:rFonts w:ascii="仿宋_GB2312" w:hAnsi="仿宋_GB2312" w:eastAsia="仿宋_GB2312"/>
          <w:b w:val="0"/>
          <w:sz w:val="32"/>
        </w:rPr>
        <w:t>包括：办公费、邮电费。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0.50万元，决算数0.00万元，预决算差异率-100.00%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0.50万元，决算数0.00万元，预决算差异率-100.00%，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2024年度尼勒克县供销合作社联合社本级（事业单位）公用经费支出0.71万元，比上年减少1.23万元，下降63.40%，主要原因是：严控经费支出，厉行节约，减少经费支出。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400.00平方米，价值4.56万元。车辆1辆，价值13.09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197.51万元，实际执行总额197.51万元；预算绩效评价项目0个，全年预算数0.00万元，全年执行数0.00万元。预算绩效管理取得的成效：我单位无绩效自评项目。发现的问题及原因：我单位无绩效自评项目。下一步改进措施：我单位无绩效自评项目。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尼勒克县供销合作社联合社本级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212.62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持续开展生产、供销、信用“三位一体”综合合作试点工作，深化供销合作社综合改革，持续抓好农民专业合作社高质量发展工作，建立健全农业社会化服务体系.2024年度计划完成提升改造基层社1个；清理“空壳”合作社5个；提升农业社会化服务面积6000亩;社有资产保值增值.</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清理“空壳”合作社达到7个，农业社会化服务面积达到30000亩，基层社改造提升数量达到1个，社有资产保值增值达到5.4万元。深化供销合作社综合改革，持续抓好农民专业合作社高质量发展工作，建立健全农业社会化服务体系。</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指标1：清理“空壳”合作社</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指标1：社有资产保值增值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指标2：农业社会化服务面积2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&gt;=6000亩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30000亩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指标3：基层社改造提升数量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