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尼勒克县乌赞中学2024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bookmarkStart w:id="0" w:name="_GoBack"/>
      <w:bookmarkEnd w:id="0"/>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ascii="仿宋_GB2312" w:hAnsi="仿宋_GB2312" w:eastAsia="仿宋_GB2312"/>
          <w:sz w:val="32"/>
        </w:rPr>
        <w:t>贯彻执行党的教育方针政策，负责全校教学事务的贯彻、落实，指导和协调教务系统各科室的教学及相关技术改造、建设等工作；起草学校工作计划、工作总结、报告、决议、通知、规章制度，审核以学校党政名义上报和下发的各类文件，及时完成文件宣传、落实的任务；深化教育教学改革，全面推进素质教育，促进教学质量提高，发展学生的综做好学校党的建设工作，按照干部管理权限，负责干部推荐工作，指导学校工会、少先队等群众组织工作，关心教职工的思想动态和文化生活，帮助教职工解决生活中的困难和问题。对发生重大事故的家庭及时慰问并家访，抓好学校精神文明建设；加强德育工作队伍建设，做好班主任培训工作，与工会、共青团组织密切配合，开展师德教育，提高教师职业道德水平，指导班主任制定工作计划，并制定考核、督导、检查、总结和交流经验。全面落实学校安全工作责任制，层层签订学校安全工作责任书，把学校安全工作任务分解到各处室、部门和岗位，并负责检查、督导落实，制定学校设施设备安全管理工作规章制度，做好学校设备设施安全管理工作强化教育科学研究工作，开展教育教学研究；完成上级部门交办的其他工作。</w:t>
      </w:r>
    </w:p>
    <w:p>
      <w:pPr>
        <w:spacing w:line="640" w:lineRule="exact"/>
        <w:ind w:firstLine="640"/>
        <w:jc w:val="both"/>
        <w:outlineLvl w:val="2"/>
      </w:pPr>
      <w:r>
        <w:rPr>
          <w:rFonts w:ascii="黑体" w:hAnsi="黑体" w:eastAsia="黑体"/>
          <w:sz w:val="32"/>
        </w:rPr>
        <w:t>二、机构设置及人员情况</w:t>
      </w:r>
    </w:p>
    <w:p>
      <w:pPr>
        <w:spacing w:line="580" w:lineRule="exact"/>
        <w:ind w:firstLine="640"/>
        <w:jc w:val="both"/>
      </w:pPr>
      <w:r>
        <w:rPr>
          <w:rFonts w:ascii="仿宋_GB2312" w:hAnsi="仿宋_GB2312" w:eastAsia="仿宋_GB2312"/>
          <w:sz w:val="32"/>
        </w:rPr>
        <w:t>尼勒克县乌赞中学2024年度，实有人数398人，其中：在职人员299人，增加107人；离休人员0人，增加0人；退休人员99人,增加75人。</w:t>
      </w:r>
    </w:p>
    <w:p>
      <w:pPr>
        <w:spacing w:line="580" w:lineRule="exact"/>
        <w:ind w:firstLine="640"/>
        <w:jc w:val="both"/>
      </w:pPr>
      <w:r>
        <w:rPr>
          <w:rFonts w:ascii="仿宋_GB2312" w:hAnsi="仿宋_GB2312" w:eastAsia="仿宋_GB2312"/>
          <w:sz w:val="32"/>
        </w:rPr>
        <w:t>尼勒克县乌赞中学无下属预算单位，下设5个科室，分别是：办公室、财务室、党建室、总务室、教务室。</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2024年度收入总计6,806.92万元，</w:t>
      </w:r>
      <w:r>
        <w:rPr>
          <w:rFonts w:ascii="仿宋_GB2312" w:hAnsi="仿宋_GB2312" w:eastAsia="仿宋_GB2312"/>
          <w:b w:val="0"/>
          <w:sz w:val="32"/>
        </w:rPr>
        <w:t>其中：本年收入合计6,781.48万元，使用非财政拨款结余（含专用结余）0.00万元，年初结转和结余25.44万元。</w:t>
      </w:r>
    </w:p>
    <w:p>
      <w:pPr>
        <w:spacing w:line="580" w:lineRule="exact"/>
        <w:ind w:firstLine="640"/>
        <w:jc w:val="both"/>
      </w:pPr>
      <w:r>
        <w:rPr>
          <w:rFonts w:ascii="仿宋_GB2312" w:hAnsi="仿宋_GB2312" w:eastAsia="仿宋_GB2312"/>
          <w:b/>
          <w:sz w:val="32"/>
        </w:rPr>
        <w:t>2024年度支出总计6,806.92万元，</w:t>
      </w:r>
      <w:r>
        <w:rPr>
          <w:rFonts w:ascii="仿宋_GB2312" w:hAnsi="仿宋_GB2312" w:eastAsia="仿宋_GB2312"/>
          <w:b w:val="0"/>
          <w:sz w:val="32"/>
        </w:rPr>
        <w:t>其中：本年支出合计6,740.38万元，结余分配0.00万元，年末结转和结余66.54万元。</w:t>
      </w:r>
    </w:p>
    <w:p>
      <w:pPr>
        <w:spacing w:line="580" w:lineRule="exact"/>
        <w:ind w:firstLine="640"/>
        <w:jc w:val="both"/>
      </w:pPr>
      <w:r>
        <w:rPr>
          <w:rFonts w:ascii="仿宋_GB2312" w:hAnsi="仿宋_GB2312" w:eastAsia="仿宋_GB2312"/>
          <w:b w:val="0"/>
          <w:sz w:val="32"/>
        </w:rPr>
        <w:t>收入支出总体与上年相比，</w:t>
      </w:r>
      <w:r>
        <w:rPr>
          <w:rFonts w:ascii="仿宋_GB2312" w:hAnsi="仿宋_GB2312" w:eastAsia="仿宋_GB2312"/>
          <w:b w:val="0"/>
          <w:sz w:val="32"/>
        </w:rPr>
        <w:t>增加2,097.53万元，增长44.54%，主要原因是：本年在职人员工资调增，社保、公积金基数调增，发放2023年度秋季托管费及小康小学和军民小学合并乌赞中学，人员增加，相应收入支出增加。</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本年收入6,781.48万元，</w:t>
      </w:r>
      <w:r>
        <w:rPr>
          <w:rFonts w:ascii="仿宋_GB2312" w:hAnsi="仿宋_GB2312" w:eastAsia="仿宋_GB2312"/>
          <w:b w:val="0"/>
          <w:sz w:val="32"/>
        </w:rPr>
        <w:t>其中：财政拨款收入6,616.88万元，占97.57%；上级补助收入0.00万元，占0.00%；事业收入0.00万元，占0.00%；经营收入0.00万元，占0.00%；附属单位上缴收入0.00万元，占0.00%；其他收入164.59万元，占2.43%。</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本年支出6,740.38万元，</w:t>
      </w:r>
      <w:r>
        <w:rPr>
          <w:rFonts w:ascii="仿宋_GB2312" w:hAnsi="仿宋_GB2312" w:eastAsia="仿宋_GB2312"/>
          <w:b w:val="0"/>
          <w:sz w:val="32"/>
        </w:rPr>
        <w:t>其中：基本支出6,740.38万元，占100.00%；项目支出0.00万元，占0.00%；上缴上级支出0.00万元，占0.00%；经营支出0.00万元，占0.00%；对附属单位补助支出0.00万元，占0.00%。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2024年度财政拨款收入总计6,616.88万元，</w:t>
      </w:r>
      <w:r>
        <w:rPr>
          <w:rFonts w:ascii="仿宋_GB2312" w:hAnsi="仿宋_GB2312" w:eastAsia="仿宋_GB2312"/>
          <w:b w:val="0"/>
          <w:sz w:val="32"/>
        </w:rPr>
        <w:t>其中：年初财政拨款结转和结余0.00万元，本年财政拨款收入6,616.88万元。</w:t>
      </w:r>
      <w:r>
        <w:rPr>
          <w:rFonts w:ascii="仿宋_GB2312" w:hAnsi="仿宋_GB2312" w:eastAsia="仿宋_GB2312"/>
          <w:b/>
          <w:sz w:val="32"/>
        </w:rPr>
        <w:t>财政拨款支出总计6,616.88万元，</w:t>
      </w:r>
      <w:r>
        <w:rPr>
          <w:rFonts w:ascii="仿宋_GB2312" w:hAnsi="仿宋_GB2312" w:eastAsia="仿宋_GB2312"/>
          <w:b w:val="0"/>
          <w:sz w:val="32"/>
        </w:rPr>
        <w:t>其中：年末财政拨款结转和结余0.00万元，本年财政拨款支出6,616.88万元。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增加2,003.57万元，增长43.43%，主要原因是：本年在职人员工资调增，社保、公积金基数调增，小康小学和军民小学合并乌赞中学，人员增加，相应收入支出增加。</w:t>
      </w:r>
      <w:r>
        <w:rPr>
          <w:rFonts w:ascii="仿宋_GB2312" w:hAnsi="仿宋_GB2312" w:eastAsia="仿宋_GB2312"/>
          <w:b/>
          <w:sz w:val="32"/>
        </w:rPr>
        <w:t>与年初预算相比，</w:t>
      </w:r>
      <w:r>
        <w:rPr>
          <w:rFonts w:ascii="仿宋_GB2312" w:hAnsi="仿宋_GB2312" w:eastAsia="仿宋_GB2312"/>
          <w:b w:val="0"/>
          <w:sz w:val="32"/>
        </w:rPr>
        <w:t>年初预算数6,227.89万元，决算数6,616.88万元，预决算差异率6.25%，主要原因是：年中追加人员工资、社保、公积金基数调增部分资金，年中追加寄宿生生活补助、营养餐，取暖费导致预决算存在差异。</w:t>
      </w:r>
    </w:p>
    <w:p>
      <w:pPr>
        <w:spacing w:line="640" w:lineRule="exact"/>
        <w:ind w:firstLine="640"/>
        <w:jc w:val="both"/>
        <w:outlineLvl w:val="2"/>
      </w:pPr>
      <w:r>
        <w:rPr>
          <w:rFonts w:ascii="黑体" w:hAnsi="黑体" w:eastAsia="黑体"/>
          <w:sz w:val="32"/>
        </w:rPr>
        <w:t>五、一般公共预算财政拨款支出决算情况说明</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2024年度一般公共预算财政拨款支出6,616.88万元，</w:t>
      </w:r>
      <w:r>
        <w:rPr>
          <w:rFonts w:ascii="仿宋_GB2312" w:hAnsi="仿宋_GB2312" w:eastAsia="仿宋_GB2312"/>
          <w:b w:val="0"/>
          <w:sz w:val="32"/>
        </w:rPr>
        <w:t>占本年支出合计的98.17%。</w:t>
      </w:r>
      <w:r>
        <w:rPr>
          <w:rFonts w:ascii="仿宋_GB2312" w:hAnsi="仿宋_GB2312" w:eastAsia="仿宋_GB2312"/>
          <w:b/>
          <w:sz w:val="32"/>
        </w:rPr>
        <w:t>与上年相比，</w:t>
      </w:r>
      <w:r>
        <w:rPr>
          <w:rFonts w:ascii="仿宋_GB2312" w:hAnsi="仿宋_GB2312" w:eastAsia="仿宋_GB2312"/>
          <w:b w:val="0"/>
          <w:sz w:val="32"/>
        </w:rPr>
        <w:t>增加2,003.57万元，增长43.43%，主要原因是：本年在职人员工资调增，社保、公积金基数调增，小康小学和军民小学合并于乌赞中学，人员增加，相应支出增加。</w:t>
      </w:r>
      <w:r>
        <w:rPr>
          <w:rFonts w:ascii="仿宋_GB2312" w:hAnsi="仿宋_GB2312" w:eastAsia="仿宋_GB2312"/>
          <w:b/>
          <w:sz w:val="32"/>
        </w:rPr>
        <w:t>与年初预算相比,</w:t>
      </w:r>
      <w:r>
        <w:rPr>
          <w:rFonts w:ascii="仿宋_GB2312" w:hAnsi="仿宋_GB2312" w:eastAsia="仿宋_GB2312"/>
          <w:b w:val="0"/>
          <w:sz w:val="32"/>
        </w:rPr>
        <w:t>年初预算数6,227.89万元，决算数6,616.88万元，预决算差异率6.25%，主要原因是：年中追加人员工资、社保、公积金基数调增部分资金，年中追加寄宿生生活补助、营养餐，取暖费导致预决算存在差异。</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1.教育支出(类)5,367.60万元,占81.12%。</w:t>
      </w:r>
    </w:p>
    <w:p>
      <w:pPr>
        <w:spacing w:line="580" w:lineRule="exact"/>
        <w:ind w:firstLine="640"/>
        <w:jc w:val="both"/>
      </w:pPr>
      <w:r>
        <w:rPr>
          <w:rFonts w:ascii="仿宋_GB2312" w:hAnsi="仿宋_GB2312" w:eastAsia="仿宋_GB2312"/>
          <w:b w:val="0"/>
          <w:sz w:val="32"/>
        </w:rPr>
        <w:t>2.社会保障和就业支出(类)639.28万元,占9.66%。</w:t>
      </w:r>
    </w:p>
    <w:p>
      <w:pPr>
        <w:spacing w:line="580" w:lineRule="exact"/>
        <w:ind w:firstLine="640"/>
        <w:jc w:val="both"/>
      </w:pPr>
      <w:r>
        <w:rPr>
          <w:rFonts w:ascii="仿宋_GB2312" w:hAnsi="仿宋_GB2312" w:eastAsia="仿宋_GB2312"/>
          <w:b w:val="0"/>
          <w:sz w:val="32"/>
        </w:rPr>
        <w:t>3.卫生健康支出(类)171.97万元,占2.60%。</w:t>
      </w:r>
    </w:p>
    <w:p>
      <w:pPr>
        <w:spacing w:line="580" w:lineRule="exact"/>
        <w:ind w:firstLine="640"/>
        <w:jc w:val="both"/>
      </w:pPr>
      <w:r>
        <w:rPr>
          <w:rFonts w:ascii="仿宋_GB2312" w:hAnsi="仿宋_GB2312" w:eastAsia="仿宋_GB2312"/>
          <w:b w:val="0"/>
          <w:sz w:val="32"/>
        </w:rPr>
        <w:t>4.住房保障支出(类)438.03万元,占6.62%。</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1.教育支出(类)普通教育(款)学前教育(项):支出决算数为158.59万元，比上年决算增加158.59万元，增长100.00%,主要原因是：2024年乌赞小康小学及军民小学合并于乌赞中学，相应学前教育支出增加。</w:t>
      </w:r>
    </w:p>
    <w:p>
      <w:pPr>
        <w:spacing w:line="580" w:lineRule="exact"/>
        <w:ind w:firstLine="640"/>
        <w:jc w:val="both"/>
      </w:pPr>
      <w:r>
        <w:rPr>
          <w:rFonts w:ascii="仿宋_GB2312" w:hAnsi="仿宋_GB2312" w:eastAsia="仿宋_GB2312"/>
          <w:b w:val="0"/>
          <w:sz w:val="32"/>
        </w:rPr>
        <w:t>2.教育支出(类)普通教育(款)小学教育(项):支出决算数为1,346.96万元，比上年决算增加1,252.88万元，增长1,331.72%,主要原因是：本年在职人员工资调增，社保基数调增，小康小学和军民小学合并乌赞中学，人员增加，相应支出增加。</w:t>
      </w:r>
    </w:p>
    <w:p>
      <w:pPr>
        <w:spacing w:line="580" w:lineRule="exact"/>
        <w:ind w:firstLine="640"/>
        <w:jc w:val="both"/>
      </w:pPr>
      <w:r>
        <w:rPr>
          <w:rFonts w:ascii="仿宋_GB2312" w:hAnsi="仿宋_GB2312" w:eastAsia="仿宋_GB2312"/>
          <w:b w:val="0"/>
          <w:sz w:val="32"/>
        </w:rPr>
        <w:t>3.教育支出(类)普通教育(款)初中教育(项):支出决算数为3,862.05万元，比上年决算增加57.33万元，增长1.51%,主要原因是：本年在职人员工资调增，社保基数调增，相应支出增加。</w:t>
      </w:r>
    </w:p>
    <w:p>
      <w:pPr>
        <w:spacing w:line="580" w:lineRule="exact"/>
        <w:ind w:firstLine="640"/>
        <w:jc w:val="both"/>
      </w:pPr>
      <w:r>
        <w:rPr>
          <w:rFonts w:ascii="仿宋_GB2312" w:hAnsi="仿宋_GB2312" w:eastAsia="仿宋_GB2312"/>
          <w:b w:val="0"/>
          <w:sz w:val="32"/>
        </w:rPr>
        <w:t>4.社会保障和就业支出(类)行政事业单位养老支出(款)事业单位离退休(项):支出决算数为67.52万元，比上年决算增加55.61万元，增长466.92%,主要原因是：2024年增加退休人员基础性绩效奖，退休费增加。</w:t>
      </w:r>
    </w:p>
    <w:p>
      <w:pPr>
        <w:spacing w:line="580" w:lineRule="exact"/>
        <w:ind w:firstLine="640"/>
        <w:jc w:val="both"/>
      </w:pPr>
      <w:r>
        <w:rPr>
          <w:rFonts w:ascii="仿宋_GB2312" w:hAnsi="仿宋_GB2312" w:eastAsia="仿宋_GB2312"/>
          <w:b w:val="0"/>
          <w:sz w:val="32"/>
        </w:rPr>
        <w:t>5.社会保障和就业支出(类)行政事业单位养老支出(款)机关事业单位基本养老保险缴费支出(项):支出决算数为471.36万元，比上年决算增加214.12万元，增长83.24%,主要原因是：本年在职人员工资基数调增，养老缴费基数上涨，相应支出增加。</w:t>
      </w:r>
    </w:p>
    <w:p>
      <w:pPr>
        <w:spacing w:line="580" w:lineRule="exact"/>
        <w:ind w:firstLine="640"/>
        <w:jc w:val="both"/>
      </w:pPr>
      <w:r>
        <w:rPr>
          <w:rFonts w:ascii="仿宋_GB2312" w:hAnsi="仿宋_GB2312" w:eastAsia="仿宋_GB2312"/>
          <w:b w:val="0"/>
          <w:sz w:val="32"/>
        </w:rPr>
        <w:t>6.社会保障和就业支出(类)行政事业单位养老支出(款)机关事业单位职业年金缴费支出(项):支出决算数为90.59万元，比上年决算增加31.59万元，增长53.54%,主要原因是：2024年度较上年相比退休人员增加，职业年金缴费增加。</w:t>
      </w:r>
    </w:p>
    <w:p>
      <w:pPr>
        <w:spacing w:line="580" w:lineRule="exact"/>
        <w:ind w:firstLine="640"/>
        <w:jc w:val="both"/>
      </w:pPr>
      <w:r>
        <w:rPr>
          <w:rFonts w:ascii="仿宋_GB2312" w:hAnsi="仿宋_GB2312" w:eastAsia="仿宋_GB2312"/>
          <w:b w:val="0"/>
          <w:sz w:val="32"/>
        </w:rPr>
        <w:t>7.社会保障和就业支出(类)抚恤(款)死亡抚恤(项):支出决算数为9.81万元，比上年决算增加9.81万元，增长100.00%,主要原因是：2024年办理发放退休死亡人员抚恤金。</w:t>
      </w:r>
    </w:p>
    <w:p>
      <w:pPr>
        <w:spacing w:line="580" w:lineRule="exact"/>
        <w:ind w:firstLine="640"/>
        <w:jc w:val="both"/>
      </w:pPr>
      <w:r>
        <w:rPr>
          <w:rFonts w:ascii="仿宋_GB2312" w:hAnsi="仿宋_GB2312" w:eastAsia="仿宋_GB2312"/>
          <w:b w:val="0"/>
          <w:sz w:val="32"/>
        </w:rPr>
        <w:t>8.卫生健康支出(类)行政事业单位医疗(款)事业单位医疗(项):支出决算数为171.97万元，比上年决算增加18.53万元，增长12.08%,主要原因是：本年在职人员事业单位医疗缴费基数上涨，相应支出增加。</w:t>
      </w:r>
    </w:p>
    <w:p>
      <w:pPr>
        <w:spacing w:line="580" w:lineRule="exact"/>
        <w:ind w:firstLine="640"/>
        <w:jc w:val="both"/>
      </w:pPr>
      <w:r>
        <w:rPr>
          <w:rFonts w:ascii="仿宋_GB2312" w:hAnsi="仿宋_GB2312" w:eastAsia="仿宋_GB2312"/>
          <w:b w:val="0"/>
          <w:sz w:val="32"/>
        </w:rPr>
        <w:t>9.住房保障支出(类)住房改革支出(款)住房公积金(项):支出决算数为438.03万元，比上年决算增加205.11万元，增长88.06%,主要原因是：本年在职人员工资基数调增，公积金缴费基数上涨，相应支出增加。</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2024年度一般公共预算财政拨款基本支出6,616.88万元，其中：</w:t>
      </w:r>
      <w:r>
        <w:rPr>
          <w:rFonts w:ascii="仿宋_GB2312" w:hAnsi="仿宋_GB2312" w:eastAsia="仿宋_GB2312"/>
          <w:b/>
          <w:sz w:val="32"/>
        </w:rPr>
        <w:t>人员经费6,301.64万元，</w:t>
      </w:r>
      <w:r>
        <w:rPr>
          <w:rFonts w:ascii="仿宋_GB2312" w:hAnsi="仿宋_GB2312" w:eastAsia="仿宋_GB2312"/>
          <w:b w:val="0"/>
          <w:sz w:val="32"/>
        </w:rPr>
        <w:t>包括：基本工资、津贴补贴、奖金、绩效工资、机关事业单位基本养老保险缴费、职业年金缴费、职工基本医疗保险缴费、其他社会保障缴费、住房公积金、其他工资福利支出、退休费、抚恤金、生活补助、助学金、奖励金。</w:t>
      </w:r>
    </w:p>
    <w:p>
      <w:pPr>
        <w:spacing w:line="580" w:lineRule="exact"/>
        <w:ind w:firstLine="640"/>
        <w:jc w:val="both"/>
      </w:pPr>
      <w:r>
        <w:rPr>
          <w:rFonts w:ascii="仿宋_GB2312" w:hAnsi="仿宋_GB2312" w:eastAsia="仿宋_GB2312"/>
          <w:b/>
          <w:sz w:val="32"/>
        </w:rPr>
        <w:t>公用经费315.24万元，</w:t>
      </w:r>
      <w:r>
        <w:rPr>
          <w:rFonts w:ascii="仿宋_GB2312" w:hAnsi="仿宋_GB2312" w:eastAsia="仿宋_GB2312"/>
          <w:b w:val="0"/>
          <w:sz w:val="32"/>
        </w:rPr>
        <w:t>包括：办公费、印刷费、水费、电费、邮电费、取暖费、物业管理费、差旅费、维修（护）费、培训费、专用材料费、其他交通费用、办公设备购置、专用设备购置。</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w:t>
      </w:r>
      <w:r>
        <w:rPr>
          <w:rFonts w:ascii="仿宋_GB2312" w:hAnsi="仿宋_GB2312" w:eastAsia="仿宋_GB2312"/>
          <w:b w:val="0"/>
          <w:sz w:val="32"/>
        </w:rPr>
        <w:t>其中：因公出国（境）费支出0.00万元，占0.00%，比上年增加0.00万元，增长0.00%，主要原因是：2023年与2024年均未安排因公出国（境）费支出。</w:t>
      </w:r>
      <w:r>
        <w:rPr>
          <w:rFonts w:ascii="仿宋_GB2312" w:hAnsi="仿宋_GB2312" w:eastAsia="仿宋_GB2312"/>
          <w:b w:val="0"/>
          <w:sz w:val="32"/>
        </w:rPr>
        <w:t>公务用车购置及运行维护费支出0.00万元，占0.00%，比上年增加0.00万元，增长0.00%，主要原因是：2023年与2024年均未安排公务用车购置及运行维护费支出。</w:t>
      </w:r>
      <w:r>
        <w:rPr>
          <w:rFonts w:ascii="仿宋_GB2312" w:hAnsi="仿宋_GB2312" w:eastAsia="仿宋_GB2312"/>
          <w:b w:val="0"/>
          <w:sz w:val="32"/>
        </w:rPr>
        <w:t>公务接待费支出0.00万元，占0.00%，比上年增加0.00万元，增长0.00%，主要原因是：2023年与2024年均未安排公务接待费支出。</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0辆，与公务用车保有量差异原因是：本单位无固定资产车辆。</w:t>
      </w:r>
    </w:p>
    <w:p>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2024年度尼勒克县乌赞中学（事业单位）公用经费支出315.24万元，比上年减少26.06万元，下降7.64%，主要原因是：严格控制公用经费，合理节约办公用品，减少不必要开支。</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2024年度政府采购支出总额0.00万元，其中：政府采购货物支出0.00万元、政府采购工程支出0.00万元、政府采购服务支出0.00万元。</w:t>
      </w:r>
    </w:p>
    <w:p>
      <w:pPr>
        <w:spacing w:line="580" w:lineRule="exact"/>
        <w:ind w:firstLine="640"/>
        <w:jc w:val="both"/>
      </w:pPr>
      <w:r>
        <w:rPr>
          <w:rFonts w:ascii="仿宋_GB2312" w:hAnsi="仿宋_GB2312" w:eastAsia="仿宋_GB2312"/>
          <w:b w:val="0"/>
          <w:sz w:val="32"/>
        </w:rPr>
        <w:t>授予中小企业合同金额0.00万元，占政府采购支出总额的0.00%，其中：授予小微企业合同金额0.00万元，占政府采购支出总额的0.00%。</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2024年12月31日，房屋59,039.36平方米，价值13,200.98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2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6,740.38万元，实际执行总额6,740.38万元；预算绩效评价项目1个，全年预算数123.50万元，全年执行数123.50万元。预算绩效管理取得的成效：一是截至2024年12月底，本单位已完成“蓝青工程”师徒结对工作达到2次，开展教研活动达到5次，开展校本培训达到2次，三进两联谊交友活动达到8次。有效提高师生整体素质，做好教师的培训工作，推动学校可持续发展。二是截至2024年12月底，本项目已完成享受课后托管服务费人数达到196人，课后托管社团成果展示次数达到2次，托管学生人数达到2856人，学生托管覆盖率99.06%，项目实际支出123.5万元。通过该项目的实施，项目受益学生数达到2856人，通过教师托管服务，减轻家长看管负担，保障学生能在学校得到良好的教育，同时促进学生健康成。发现的问题及原因：一是在新阶段下，教师的教学质量与家长不断增强的教育需求之间有差距，教师能力提升迫在眉睫。二是教师年龄日趋老龄化，学校没有新鲜血液注入，活力不强。下一步改进措施：一是加大单位各项目负责人员专业能力培训的力度，对绩效自评管理这项工作引起重视，设立定岗定责，要求各庭室建立权界清晰，分工合理，权责一致，协调配合，建立健全监督机制，发现问题及时报告，大胆履职，开展定期或不定期检查，确保绩效自评工作顺利开展。二是严格按照《预算绩效管理办法》，《州财政局机关预算管理办法》的要求对项目资金列入部门预算、进一步规范项目绩效管理工作、及时规范收支账务处理和会计核算等工作。确保项目资金合理、高效使用到位。三是深化学习，努力提高思想理论水平，加强事业心和责任感，并坚持理论联系实际，注重学习以致用。具体附整体支出绩效自评表，项目支出绩效自评表和评价报告。</w:t>
      </w:r>
    </w:p>
    <w:p>
      <w:r>
        <w:br w:type="page"/>
      </w:r>
    </w:p>
    <w:tbl>
      <w:tblPr>
        <w:tblW w:type="auto" w:w="0"/>
        <w:tblLook w:firstColumn="1" w:firstRow="1" w:lastColumn="0" w:lastRow="0" w:noHBand="0" w:noVBand="1" w:val="04A0"/>
      </w:tblPr>
      <w:tblGrid>
        <w:gridCol w:w="1105"/>
        <w:gridCol w:w="1105"/>
        <w:gridCol w:w="1105"/>
        <w:gridCol w:w="1105"/>
        <w:gridCol w:w="1105"/>
        <w:gridCol w:w="1105"/>
        <w:gridCol w:w="1105"/>
        <w:gridCol w:w="1105"/>
      </w:tblGrid>
      <w:tr>
        <w:tc>
          <w:tcPr>
            <w:tcW w:type="dxa" w:w="8840"/>
            <w:gridSpan w:val="8"/>
            <w:vAlign w:val="center"/>
          </w:tcPr>
          <w:p>
            <w:pPr>
              <w:jc w:val="center"/>
            </w:pPr>
            <w:r>
              <w:rPr>
                <w:rFonts w:ascii="宋体" w:hAnsi="宋体" w:eastAsia="宋体"/>
                <w:sz w:val="24"/>
              </w:rPr>
              <w:t>单位整体支出绩效自评表</w:t>
            </w:r>
          </w:p>
        </w:tc>
      </w:tr>
      <w:tr>
        <w:tc>
          <w:tcPr>
            <w:tcW w:type="dxa" w:w="8840"/>
            <w:gridSpan w:val="8"/>
            <w:vAlign w:val="center"/>
          </w:tcPr>
          <w:p>
            <w:pPr>
              <w:jc w:val="center"/>
            </w:pPr>
            <w:r>
              <w:rPr>
                <w:rFonts w:ascii="宋体" w:hAnsi="宋体" w:eastAsia="宋体"/>
                <w:sz w:val="24"/>
              </w:rPr>
              <w:t>（2024年度）</w:t>
            </w:r>
          </w:p>
        </w:tc>
      </w:tr>
      <w:tr>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单位名称</w:t>
            </w:r>
          </w:p>
        </w:tc>
        <w:tc>
          <w:tcPr>
            <w:tcW w:type="dxa" w:w="7735"/>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尼勒克县乌赞中学</w:t>
            </w:r>
          </w:p>
        </w:tc>
      </w:tr>
      <w:tr>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部门资金（万元）</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资金来源</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分值权重</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年度总资金</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6,884.55</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6,740.38</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6,740.38</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上级资金：</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709.47</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735.84</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735.84</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本级资金：</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5,955.08</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5,881.04</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5,881.04</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其他资金：</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220.00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123.50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123.50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3315"/>
            <w:gridSpan w:val="3"/>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4420"/>
            <w:gridSpan w:val="4"/>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c>
          <w:tcPr>
            <w:tcW w:type="dxa" w:w="1105"/>
            <w:vMerge/>
            <w:tcBorders>
              <w:start w:sz="10" w:val="single"/>
              <w:top w:sz="10" w:val="single"/>
              <w:end w:sz="10" w:val="single"/>
              <w:bottom w:sz="10" w:val="single"/>
              <w:insideV w:sz="10" w:val="single"/>
            </w:tcBorders>
          </w:tcPr>
          <w:p/>
        </w:tc>
        <w:tc>
          <w:tcPr>
            <w:tcW w:type="dxa" w:w="3315"/>
            <w:gridSpan w:val="3"/>
            <w:tcBorders>
              <w:start w:sz="10" w:val="single"/>
              <w:top w:sz="10" w:val="single"/>
              <w:end w:sz="10" w:val="single"/>
              <w:bottom w:sz="10" w:val="single"/>
              <w:insideV w:sz="10" w:val="single"/>
            </w:tcBorders>
            <w:vAlign w:val="center"/>
          </w:tcPr>
          <w:p>
            <w:pPr>
              <w:jc w:val="both"/>
            </w:pPr>
            <w:r>
              <w:rPr>
                <w:rFonts w:ascii="宋体" w:hAnsi="宋体" w:eastAsia="宋体"/>
                <w:sz w:val="16"/>
              </w:rPr>
              <w:t xml:space="preserve">1.坚持以优质保教为中心、以科学管理为保障，规范与发展并举；                                                                       2.开展丰2.富多彩的活动，让幼儿全面发展；                                           </w:t>
              <w:br/>
              <w:br/>
              <w:t xml:space="preserve">3.全面贯彻执行党和国家有关教育工作的方针、政策和法规，执行自治区的教育法规、实施办法和管理条例；                                                                     </w:t>
              <w:br/>
              <w:br/>
              <w:t>4.提高师生整体素质，做好教师的培训工作，推动学校可持续发展。</w:t>
            </w:r>
          </w:p>
        </w:tc>
        <w:tc>
          <w:tcPr>
            <w:tcW w:type="dxa" w:w="4420"/>
            <w:gridSpan w:val="4"/>
            <w:tcBorders>
              <w:start w:sz="10" w:val="single"/>
              <w:top w:sz="10" w:val="single"/>
              <w:end w:sz="10" w:val="single"/>
              <w:bottom w:sz="10" w:val="single"/>
              <w:insideV w:sz="10" w:val="single"/>
            </w:tcBorders>
            <w:vAlign w:val="center"/>
          </w:tcPr>
          <w:p>
            <w:pPr>
              <w:jc w:val="both"/>
            </w:pPr>
            <w:r>
              <w:rPr>
                <w:rFonts w:ascii="宋体" w:hAnsi="宋体" w:eastAsia="宋体"/>
                <w:sz w:val="16"/>
              </w:rPr>
              <w:t>截至2024年12月底，本单位已完成“蓝青工程”师徒结对工作达到2次，开展教研活动达到5次，开展校本培训达到2次，三进两联谊交友活动达到8次。有效提高师生整体素质，做好教师的培训工作，推动学校可持续发展。</w:t>
            </w:r>
          </w:p>
        </w:tc>
      </w:tr>
      <w:tr>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预期指标值</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分值权重</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实际完成指标值</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履职效能</w:t>
            </w:r>
          </w:p>
        </w:tc>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指标1：“蓝青工程”师徒结对工作</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&gt;=2次</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2024年学校重点工作计划</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2次</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r>
      <w:tr>
        <w:tc>
          <w:tcPr>
            <w:tcW w:type="dxa" w:w="1105"/>
            <w:vMerge/>
            <w:tcBorders>
              <w:start w:sz="10" w:val="single"/>
              <w:top w:sz="10" w:val="single"/>
              <w:end w:sz="10" w:val="single"/>
              <w:bottom w:sz="10" w:val="single"/>
              <w:insideV w:sz="10" w:val="single"/>
            </w:tcBorders>
          </w:tcPr>
          <w:p/>
        </w:tc>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指标2：开展教研活动</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&gt;=5次</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2024年学校重点工作计划</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25</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5次</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25</w:t>
            </w:r>
          </w:p>
        </w:tc>
      </w:tr>
      <w:tr>
        <w:tc>
          <w:tcPr>
            <w:tcW w:type="dxa" w:w="1105"/>
            <w:vMerge/>
            <w:tcBorders>
              <w:start w:sz="10" w:val="single"/>
              <w:top w:sz="10" w:val="single"/>
              <w:end w:sz="10" w:val="single"/>
              <w:bottom w:sz="10" w:val="single"/>
              <w:insideV w:sz="10" w:val="single"/>
            </w:tcBorders>
          </w:tcPr>
          <w:p/>
        </w:tc>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指标3：开展校本培训</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&gt;=2次</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2024年学校重点工作计划</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2次</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r>
      <w:tr>
        <w:tc>
          <w:tcPr>
            <w:tcW w:type="dxa" w:w="1105"/>
            <w:vMerge/>
            <w:tcBorders>
              <w:start w:sz="10" w:val="single"/>
              <w:top w:sz="10" w:val="single"/>
              <w:end w:sz="10" w:val="single"/>
              <w:bottom w:sz="10" w:val="single"/>
              <w:insideV w:sz="10" w:val="single"/>
            </w:tcBorders>
          </w:tcPr>
          <w:p/>
        </w:tc>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指标4：三进两联谊交友活动</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&gt;=8次</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2024年学校重点工作计划</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25</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8次</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25</w:t>
            </w:r>
          </w:p>
        </w:tc>
      </w:tr>
    </w:tbl>
    <w:p>
      <w:r>
        <w:br w:type="page"/>
      </w:r>
    </w:p>
    <w:tbl>
      <w:tblPr>
        <w:tblW w:type="auto" w:w="0"/>
        <w:tblLook w:firstColumn="1" w:firstRow="1" w:lastColumn="0" w:lastRow="0" w:noHBand="0" w:noVBand="1" w:val="04A0"/>
      </w:tblPr>
      <w:tblGrid>
        <w:gridCol w:w="632"/>
        <w:gridCol w:w="632"/>
        <w:gridCol w:w="632"/>
        <w:gridCol w:w="632"/>
        <w:gridCol w:w="632"/>
        <w:gridCol w:w="632"/>
        <w:gridCol w:w="632"/>
        <w:gridCol w:w="632"/>
        <w:gridCol w:w="632"/>
        <w:gridCol w:w="632"/>
        <w:gridCol w:w="632"/>
        <w:gridCol w:w="632"/>
        <w:gridCol w:w="632"/>
        <w:gridCol w:w="632"/>
      </w:tblGrid>
      <w:tr>
        <w:tc>
          <w:tcPr>
            <w:tcW w:type="dxa" w:w="8848"/>
            <w:gridSpan w:val="14"/>
            <w:vAlign w:val="center"/>
          </w:tcPr>
          <w:p>
            <w:pPr>
              <w:jc w:val="center"/>
            </w:pPr>
            <w:r>
              <w:rPr>
                <w:rFonts w:ascii="宋体" w:hAnsi="宋体" w:eastAsia="宋体"/>
                <w:sz w:val="24"/>
              </w:rPr>
              <w:t>项目支出绩效自评表</w:t>
            </w:r>
          </w:p>
        </w:tc>
      </w:tr>
      <w:tr>
        <w:tc>
          <w:tcPr>
            <w:tcW w:type="dxa" w:w="8848"/>
            <w:gridSpan w:val="14"/>
            <w:vAlign w:val="center"/>
          </w:tcPr>
          <w:p>
            <w:pPr>
              <w:jc w:val="center"/>
            </w:pPr>
            <w:r>
              <w:rPr>
                <w:rFonts w:ascii="宋体" w:hAnsi="宋体" w:eastAsia="宋体"/>
                <w:sz w:val="24"/>
              </w:rPr>
              <w:t>(2024年度)</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项目名称</w:t>
            </w:r>
          </w:p>
        </w:tc>
        <w:tc>
          <w:tcPr>
            <w:tcW w:type="dxa" w:w="8216"/>
            <w:gridSpan w:val="13"/>
            <w:tcBorders>
              <w:start w:sz="10" w:val="single"/>
              <w:top w:sz="10" w:val="single"/>
              <w:end w:sz="10" w:val="single"/>
              <w:bottom w:sz="10" w:val="single"/>
              <w:insideV w:sz="10" w:val="single"/>
            </w:tcBorders>
            <w:vAlign w:val="center"/>
          </w:tcPr>
          <w:p>
            <w:pPr>
              <w:jc w:val="center"/>
            </w:pPr>
            <w:r>
              <w:rPr>
                <w:rFonts w:ascii="宋体" w:hAnsi="宋体" w:eastAsia="宋体"/>
                <w:sz w:val="16"/>
              </w:rPr>
              <w:t>2024年单位自有资金</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主管部门</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尼勒克县乌赞中学</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实施单位</w:t>
            </w:r>
          </w:p>
        </w:tc>
        <w:tc>
          <w:tcPr>
            <w:tcW w:type="dxa" w:w="3160"/>
            <w:gridSpan w:val="5"/>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尼勒克县乌赞中学</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项目资金（万元）</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分值</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年度资金总额</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123.50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123.50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123.50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其中：当年财政拨款</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 xml:space="preserve">  其他资金</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123.50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123.50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3792"/>
            <w:gridSpan w:val="6"/>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c>
          <w:tcPr>
            <w:tcW w:type="dxa" w:w="632"/>
            <w:vMerge/>
            <w:tcBorders>
              <w:start w:sz="10" w:val="single"/>
              <w:top w:sz="10" w:val="single"/>
              <w:end w:sz="10" w:val="single"/>
              <w:bottom w:sz="10" w:val="single"/>
              <w:insideV w:sz="10" w:val="single"/>
            </w:tcBorders>
          </w:tcPr>
          <w:p/>
        </w:tc>
        <w:tc>
          <w:tcPr>
            <w:tcW w:type="dxa" w:w="4424"/>
            <w:gridSpan w:val="7"/>
            <w:tcBorders>
              <w:start w:sz="10" w:val="single"/>
              <w:top w:sz="10" w:val="single"/>
              <w:end w:sz="10" w:val="single"/>
              <w:bottom w:sz="10" w:val="single"/>
              <w:insideV w:sz="10" w:val="single"/>
            </w:tcBorders>
            <w:vAlign w:val="center"/>
          </w:tcPr>
          <w:p>
            <w:pPr>
              <w:jc w:val="both"/>
            </w:pPr>
            <w:r>
              <w:rPr>
                <w:rFonts w:ascii="宋体" w:hAnsi="宋体" w:eastAsia="宋体"/>
                <w:sz w:val="16"/>
              </w:rPr>
              <w:t>通过教师托管服务，减轻家长看管负担，保障学生能在学校得到良好的教育，同时促进学生健康成长。</w:t>
            </w:r>
          </w:p>
        </w:tc>
        <w:tc>
          <w:tcPr>
            <w:tcW w:type="dxa" w:w="3792"/>
            <w:gridSpan w:val="6"/>
            <w:tcBorders>
              <w:start w:sz="10" w:val="single"/>
              <w:top w:sz="10" w:val="single"/>
              <w:end w:sz="10" w:val="single"/>
              <w:bottom w:sz="10" w:val="single"/>
              <w:insideV w:sz="10" w:val="single"/>
            </w:tcBorders>
            <w:vAlign w:val="center"/>
          </w:tcPr>
          <w:p>
            <w:pPr>
              <w:jc w:val="both"/>
            </w:pPr>
            <w:r>
              <w:rPr>
                <w:rFonts w:ascii="宋体" w:hAnsi="宋体" w:eastAsia="宋体"/>
                <w:sz w:val="16"/>
              </w:rPr>
              <w:t>截至2024年12月底，本项目已完成享受课后托管服务费人数达到196人，课后托管社团成果展示次数达到2次，托管学生人数达到2856人，学生托管覆盖率99.06%，项目实际支出123.5万元。通过该项目的实施，项目受益学生数达到2856人，通过教师托管服务，减轻家长看管负担，保障学生能在学校得到良好的教育，同时促进学生健康成长。</w:t>
            </w:r>
          </w:p>
        </w:tc>
      </w:tr>
      <w:tr>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权重</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目标值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业绩值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完成率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上年完成情况</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赋分规则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佐证资料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偏差原因分析及改进措施</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年度绩效指标完成情况</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产出指标</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指标1：享受课后托管服务费人数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&gt;=196人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196人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指标2：课后托管社团成果展示次数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&gt;=2次</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2次</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指标3：托管学生人数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&gt;=2883人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2856人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99%</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9.9</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个别学生未参与托管</w:t>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质量指标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指标1：学生托管覆盖率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7</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99.06%</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7</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成本指标</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经济成本指标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指标1：教师托管费</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7</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&lt;=117.32</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117.28万元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7</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行业标准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原始凭证</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指标2：保障运转经费数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6</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&lt;=6.17万元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6.23万元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97%</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5.82</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原始凭证</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实际产生电费支出超出预期值，总结经验，下一年度合理编制预算</w:t>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社会效益指标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指标1：项目受益学生数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&gt;=2994人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2856人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28.5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个别学生未参与托管</w:t>
            </w:r>
          </w:p>
        </w:tc>
      </w:tr>
      <w:tr>
        <w:tc>
          <w:tcPr>
            <w:tcW w:type="dxa" w:w="2528"/>
            <w:gridSpan w:val="4"/>
            <w:tcBorders>
              <w:start w:sz="10" w:val="single"/>
              <w:top w:sz="10" w:val="single"/>
              <w:end w:sz="10" w:val="single"/>
              <w:bottom w:sz="10" w:val="single"/>
              <w:insideV w:sz="10" w:val="single"/>
            </w:tcBorders>
            <w:vAlign w:val="center"/>
          </w:tcPr>
          <w:p>
            <w:pPr>
              <w:jc w:val="center"/>
            </w:pPr>
            <w:r>
              <w:rPr>
                <w:rFonts w:ascii="宋体" w:hAnsi="宋体" w:eastAsia="宋体"/>
                <w:sz w:val="16"/>
              </w:rPr>
              <w:t>总分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98.22分</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r>
    </w:tbl>
    <w:p>
      <w:r>
        <w:br w:type="page"/>
      </w: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本单位2024年度无政府采购支出，授予中小企业合同金额0.00万元。</w:t>
      </w:r>
    </w:p>
    <w:p>
      <w:r>
        <w:br w:type="page"/>
      </w:r>
    </w:p>
    <w:p>
      <w:pPr>
        <w:spacing w:line="240" w:lineRule="auto"/>
        <w:jc w:val="center"/>
        <w:outlineLvl w:val="1"/>
      </w:pPr>
      <w:r>
        <w:rPr>
          <w:rFonts w:ascii="黑体" w:hAnsi="黑体" w:eastAsia="黑体"/>
          <w:sz w:val="32"/>
        </w:rPr>
        <w:t>第三部分 专业名词解释</w:t>
      </w:r>
    </w:p>
    <w:p>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240" w:lineRule="auto"/>
        <w:ind w:firstLine="640"/>
        <w:jc w:val="both"/>
      </w:pPr>
      <w:r>
        <w:rPr>
          <w:rFonts w:ascii="仿宋_GB2312" w:hAnsi="仿宋_GB2312" w:eastAsia="仿宋_GB2312"/>
          <w:b w:val="0"/>
          <w:sz w:val="32"/>
        </w:rPr>
        <w:t>一、《收入支出决算总表》</w:t>
      </w:r>
    </w:p>
    <w:p>
      <w:pPr>
        <w:spacing w:line="240" w:lineRule="auto"/>
        <w:ind w:firstLine="640"/>
        <w:jc w:val="both"/>
      </w:pPr>
      <w:r>
        <w:rPr>
          <w:rFonts w:ascii="仿宋_GB2312" w:hAnsi="仿宋_GB2312" w:eastAsia="仿宋_GB2312"/>
          <w:b w:val="0"/>
          <w:sz w:val="32"/>
        </w:rPr>
        <w:t>二、《收入决算表》</w:t>
      </w:r>
    </w:p>
    <w:p>
      <w:pPr>
        <w:spacing w:line="240" w:lineRule="auto"/>
        <w:ind w:firstLine="640"/>
        <w:jc w:val="both"/>
      </w:pPr>
      <w:r>
        <w:rPr>
          <w:rFonts w:ascii="仿宋_GB2312" w:hAnsi="仿宋_GB2312" w:eastAsia="仿宋_GB2312"/>
          <w:b w:val="0"/>
          <w:sz w:val="32"/>
        </w:rPr>
        <w:t>三、《支出决算表》</w:t>
      </w:r>
    </w:p>
    <w:p>
      <w:pPr>
        <w:spacing w:line="240" w:lineRule="auto"/>
        <w:ind w:firstLine="640"/>
        <w:jc w:val="both"/>
      </w:pPr>
      <w:r>
        <w:rPr>
          <w:rFonts w:ascii="仿宋_GB2312" w:hAnsi="仿宋_GB2312" w:eastAsia="仿宋_GB2312"/>
          <w:b w:val="0"/>
          <w:sz w:val="32"/>
        </w:rPr>
        <w:t>四、《财政拨款收入支出决算总表》</w:t>
      </w:r>
    </w:p>
    <w:p>
      <w:pPr>
        <w:spacing w:line="240" w:lineRule="auto"/>
        <w:ind w:firstLine="640"/>
        <w:jc w:val="both"/>
      </w:pPr>
      <w:r>
        <w:rPr>
          <w:rFonts w:ascii="仿宋_GB2312" w:hAnsi="仿宋_GB2312" w:eastAsia="仿宋_GB2312"/>
          <w:b w:val="0"/>
          <w:sz w:val="32"/>
        </w:rPr>
        <w:t>五、《一般公共预算财政拨款支出决算表》</w:t>
      </w:r>
    </w:p>
    <w:p>
      <w:pPr>
        <w:spacing w:line="240" w:lineRule="auto"/>
        <w:ind w:firstLine="640"/>
        <w:jc w:val="both"/>
      </w:pPr>
      <w:r>
        <w:rPr>
          <w:rFonts w:ascii="仿宋_GB2312" w:hAnsi="仿宋_GB2312" w:eastAsia="仿宋_GB2312"/>
          <w:b w:val="0"/>
          <w:sz w:val="32"/>
        </w:rPr>
        <w:t>六、《一般公共预算财政拨款基本支出决算表》</w:t>
      </w:r>
    </w:p>
    <w:p>
      <w:pPr>
        <w:spacing w:line="240" w:lineRule="auto"/>
        <w:ind w:firstLine="640"/>
        <w:jc w:val="both"/>
      </w:pPr>
      <w:r>
        <w:rPr>
          <w:rFonts w:ascii="仿宋_GB2312" w:hAnsi="仿宋_GB2312" w:eastAsia="仿宋_GB2312"/>
          <w:b w:val="0"/>
          <w:sz w:val="32"/>
        </w:rPr>
        <w:t>七、《政府性基金预算财政拨款收入支出决算表》</w:t>
      </w:r>
    </w:p>
    <w:p>
      <w:pPr>
        <w:spacing w:line="240" w:lineRule="auto"/>
        <w:ind w:firstLine="640"/>
        <w:jc w:val="both"/>
      </w:pPr>
      <w:r>
        <w:rPr>
          <w:rFonts w:ascii="仿宋_GB2312" w:hAnsi="仿宋_GB2312" w:eastAsia="仿宋_GB2312"/>
          <w:b w:val="0"/>
          <w:sz w:val="32"/>
        </w:rPr>
        <w:t>八、《国有资本经营预算财政拨款收入支出决算表》</w:t>
      </w:r>
    </w:p>
    <w:p>
      <w:pPr>
        <w:spacing w:line="240" w:lineRule="auto"/>
        <w:ind w:firstLine="640"/>
        <w:jc w:val="both"/>
      </w:pPr>
      <w:r>
        <w:rPr>
          <w:rFonts w:ascii="仿宋_GB2312" w:hAnsi="仿宋_GB2312" w:eastAsia="仿宋_GB2312"/>
          <w:b w:val="0"/>
          <w:sz w:val="32"/>
        </w:rPr>
        <w:t>九、《财政拨款“三公”经费支出决算表》</w:t>
      </w: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2000000000000000000"/>
    <w:charset w:val="86"/>
    <w:family w:val="script"/>
    <w:pitch w:val="default"/>
    <w:sig w:usb0="00000000" w:usb1="00000000"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523</Words>
  <Characters>541</Characters>
  <Lines>0</Lines>
  <Paragraphs>0</Paragraphs>
  <TotalTime>0</TotalTime>
  <ScaleCrop>false</ScaleCrop>
  <LinksUpToDate>false</LinksUpToDate>
  <CharactersWithSpaces>547</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郭子歪</cp:lastModifiedBy>
  <cp:lastPrinted>2024-07-22T11:58:00Z</cp:lastPrinted>
  <dcterms:modified xsi:type="dcterms:W3CDTF">2025-08-08T11:56:24Z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B858A68E913346F885B5BC17D4DBEB06_13</vt:lpwstr>
  </property>
  <property fmtid="{D5CDD505-2E9C-101B-9397-08002B2CF9AE}" pid="4" name="KSOTemplateDocerSaveRecord">
    <vt:lpwstr>eyJoZGlkIjoiODY5ZWEwNzk5MThkZjUwOTQxNjE1MDdiYWJiNGU5YzAiLCJ1c2VySWQiOiI0Nzg3NDM5MjgifQ==</vt:lpwstr>
  </property>
</Properties>
</file>