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尼勒克县乌拉斯台镇九年制中心学校2024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正确贯彻执行党和国家的教育方针、政策、法规；积极稳妥地推进教育改革，按教育规律办事，不断提高教育质量，按教育规律办学，不断提高教育质量。以人为本，促进学生全面发展；以提高国民素质为根本宗旨，以培养学生的创新精神和实践能力为重点，造就有理想、有道德、有文化、有纪律的德、智、体、美等全面发展的社会主义事业的建设者和接班人。</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尼勒克县乌拉斯台镇九年制中心学校2024年度，实有人数175人，其中：在职人员129人，增加21人；离休人员0人，增加0人；退休人员46人,增加14人。</w:t>
      </w:r>
    </w:p>
    <w:p>
      <w:pPr>
        <w:spacing w:line="580" w:lineRule="exact"/>
        <w:ind w:firstLine="640"/>
        <w:jc w:val="both"/>
      </w:pPr>
      <w:r>
        <w:rPr>
          <w:rFonts w:ascii="仿宋_GB2312" w:hAnsi="仿宋_GB2312" w:eastAsia="仿宋_GB2312"/>
          <w:sz w:val="32"/>
        </w:rPr>
        <w:t>尼勒克县乌拉斯台镇九年制中心学校无下属预算单位，下设5个科室，分别是：政教处、总务室、财务室、党建室、教研室。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2024年度收入总计2,768.36万元，</w:t>
      </w:r>
      <w:r>
        <w:rPr>
          <w:rFonts w:ascii="仿宋_GB2312" w:hAnsi="仿宋_GB2312" w:eastAsia="仿宋_GB2312"/>
          <w:b w:val="0"/>
          <w:sz w:val="32"/>
        </w:rPr>
        <w:t>其中：本年收入合计2,738.80万元，使用非财政拨款结余（含专用结余）0.00万元，年初结转和结余29.56万元。</w:t>
      </w:r>
    </w:p>
    <w:p>
      <w:pPr>
        <w:spacing w:line="580" w:lineRule="exact"/>
        <w:ind w:firstLine="640"/>
        <w:jc w:val="both"/>
      </w:pPr>
      <w:r>
        <w:rPr>
          <w:rFonts w:ascii="仿宋_GB2312" w:hAnsi="仿宋_GB2312" w:eastAsia="仿宋_GB2312"/>
          <w:b/>
          <w:sz w:val="32"/>
        </w:rPr>
        <w:t>2024年度支出总计2,768.36万元，</w:t>
      </w:r>
      <w:r>
        <w:rPr>
          <w:rFonts w:ascii="仿宋_GB2312" w:hAnsi="仿宋_GB2312" w:eastAsia="仿宋_GB2312"/>
          <w:b w:val="0"/>
          <w:sz w:val="32"/>
        </w:rPr>
        <w:t>其中：本年支出合计2,746.26万元，结余分配0.00万元，年末结转和结余22.10万元。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526.72万元，增长23.50%，主要原因是：本年在职人员工资调增，社保、公积金基数调增，人员经费增加；本年在职人员增加，在职人员工资调增、社保、公积金基数调增，人员经费增加；本年2024年义务教育公用经费等项目资金较上年增加；本年增加2021-2023年学前保教费及伙食费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本年收入2,738.80万元，</w:t>
      </w:r>
      <w:r>
        <w:rPr>
          <w:rFonts w:ascii="仿宋_GB2312" w:hAnsi="仿宋_GB2312" w:eastAsia="仿宋_GB2312"/>
          <w:b w:val="0"/>
          <w:sz w:val="32"/>
        </w:rPr>
        <w:t>其中：财政拨款收入2,688.97万元，占98.18%；上级补助收入0.00万元，占0.00%；事业收入0.00万元，占0.00%；经营收入0.00万元，占0.00%；附属单位上缴收入0.00万元，占0.00%；其他收入49.83万元，占1.82%。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本年支出2,746.26万元，</w:t>
      </w:r>
      <w:r>
        <w:rPr>
          <w:rFonts w:ascii="仿宋_GB2312" w:hAnsi="仿宋_GB2312" w:eastAsia="仿宋_GB2312"/>
          <w:b w:val="0"/>
          <w:sz w:val="32"/>
        </w:rPr>
        <w:t>其中：基本支出2,746.26万元，占100.00%；项目支出0.00万元，占0.00%；上缴上级支出0.00万元，占0.00%；经营支出0.00万元，占0.00%；对附属单位补助支出0.00万元，占0.00%。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2024年度财政拨款收入总计2,688.97万元，</w:t>
      </w:r>
      <w:r>
        <w:rPr>
          <w:rFonts w:ascii="仿宋_GB2312" w:hAnsi="仿宋_GB2312" w:eastAsia="仿宋_GB2312"/>
          <w:b w:val="0"/>
          <w:sz w:val="32"/>
        </w:rPr>
        <w:t>其中：年初财政拨款结转和结余0.00万元，本年财政拨款收入2,688.97万元。</w:t>
      </w:r>
      <w:r>
        <w:rPr>
          <w:rFonts w:ascii="仿宋_GB2312" w:hAnsi="仿宋_GB2312" w:eastAsia="仿宋_GB2312"/>
          <w:b/>
          <w:sz w:val="32"/>
        </w:rPr>
        <w:t>财政拨款支出总计2,688.97万元，</w:t>
      </w:r>
      <w:r>
        <w:rPr>
          <w:rFonts w:ascii="仿宋_GB2312" w:hAnsi="仿宋_GB2312" w:eastAsia="仿宋_GB2312"/>
          <w:b w:val="0"/>
          <w:sz w:val="32"/>
        </w:rPr>
        <w:t>其中：年末财政拨款结转和结余0.00万元，本年财政拨款支出2,688.97万元。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512.58万元，增长23.55%，主要原因是：本年在职人员工资调增，社保、公积金基数调增，人员经费增加；本年在职人员增加，在职人员工资调增、社保、公积金基数调增，人员经费增加；本年2024年义务教育公用经费等项目资金较上年增加；本年增加2021-2023年学前保教费及伙食费等项目。</w:t>
      </w:r>
      <w:r>
        <w:rPr>
          <w:rFonts w:ascii="仿宋_GB2312" w:hAnsi="仿宋_GB2312" w:eastAsia="仿宋_GB2312"/>
          <w:b/>
          <w:sz w:val="32"/>
        </w:rPr>
        <w:t>与年初预算相比，</w:t>
      </w:r>
      <w:r>
        <w:rPr>
          <w:rFonts w:ascii="仿宋_GB2312" w:hAnsi="仿宋_GB2312" w:eastAsia="仿宋_GB2312"/>
          <w:b w:val="0"/>
          <w:sz w:val="32"/>
        </w:rPr>
        <w:t>年初预算数2,505.99万元，决算数2,688.97万元，预决算差异率7.30%，主要原因是：年中追加2021-2023年学前保教费及伙食费项目，导致预决算存在差异；年中追加人员工资、社保、公积金基数调增部分资金，导致预决算存在差异。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2024年度一般公共预算财政拨款支出2,688.52万元，</w:t>
      </w:r>
      <w:r>
        <w:rPr>
          <w:rFonts w:ascii="仿宋_GB2312" w:hAnsi="仿宋_GB2312" w:eastAsia="仿宋_GB2312"/>
          <w:b w:val="0"/>
          <w:sz w:val="32"/>
        </w:rPr>
        <w:t>占本年支出合计的97.90%。</w:t>
      </w:r>
      <w:r>
        <w:rPr>
          <w:rFonts w:ascii="仿宋_GB2312" w:hAnsi="仿宋_GB2312" w:eastAsia="仿宋_GB2312"/>
          <w:b/>
          <w:sz w:val="32"/>
        </w:rPr>
        <w:t>与上年相比，</w:t>
      </w:r>
      <w:r>
        <w:rPr>
          <w:rFonts w:ascii="仿宋_GB2312" w:hAnsi="仿宋_GB2312" w:eastAsia="仿宋_GB2312"/>
          <w:b w:val="0"/>
          <w:sz w:val="32"/>
        </w:rPr>
        <w:t>增加513.63万元，增长23.62%，主要原因是：本年在职人员工资调增，社保、公积金基数调增，人员经费增加；本年在职人员增加，在职人员工资调增、社保、公积金基数调增，人员经费增加；本年2024年义务教育公用经费等项目资金较上年增加；本年增加2021-2023年学前保教费及伙食费等项目。</w:t>
      </w:r>
      <w:r>
        <w:rPr>
          <w:rFonts w:ascii="仿宋_GB2312" w:hAnsi="仿宋_GB2312" w:eastAsia="仿宋_GB2312"/>
          <w:b/>
          <w:sz w:val="32"/>
        </w:rPr>
        <w:t>与年初预算相比,</w:t>
      </w:r>
      <w:r>
        <w:rPr>
          <w:rFonts w:ascii="仿宋_GB2312" w:hAnsi="仿宋_GB2312" w:eastAsia="仿宋_GB2312"/>
          <w:b w:val="0"/>
          <w:sz w:val="32"/>
        </w:rPr>
        <w:t>年初预算数2,502.99万元，决算数2,688.52万元，预决算差异率7.41%，主要原因是：年中追加2021-2023年学前保教费及伙食费项目，导致预决算存在差异；年中追加人员工资、社保、公积金基数调增部分资金，导致预决算存在差异。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1.教育支出(类)2,187.10万元,占81.35%。</w:t>
      </w:r>
    </w:p>
    <w:p>
      <w:pPr>
        <w:spacing w:line="580" w:lineRule="exact"/>
        <w:ind w:firstLine="640"/>
        <w:jc w:val="both"/>
      </w:pPr>
      <w:r>
        <w:rPr>
          <w:rFonts w:ascii="仿宋_GB2312" w:hAnsi="仿宋_GB2312" w:eastAsia="仿宋_GB2312"/>
          <w:b w:val="0"/>
          <w:sz w:val="32"/>
        </w:rPr>
        <w:t>2.社会保障和就业支出(类)264.34万元,占9.83%。</w:t>
      </w:r>
    </w:p>
    <w:p>
      <w:pPr>
        <w:spacing w:line="580" w:lineRule="exact"/>
        <w:ind w:firstLine="640"/>
        <w:jc w:val="both"/>
      </w:pPr>
      <w:r>
        <w:rPr>
          <w:rFonts w:ascii="仿宋_GB2312" w:hAnsi="仿宋_GB2312" w:eastAsia="仿宋_GB2312"/>
          <w:b w:val="0"/>
          <w:sz w:val="32"/>
        </w:rPr>
        <w:t>3.卫生健康支出(类)64.98万元,占2.42%。</w:t>
      </w:r>
    </w:p>
    <w:p>
      <w:pPr>
        <w:spacing w:line="580" w:lineRule="exact"/>
        <w:ind w:firstLine="640"/>
        <w:jc w:val="both"/>
      </w:pPr>
      <w:r>
        <w:rPr>
          <w:rFonts w:ascii="仿宋_GB2312" w:hAnsi="仿宋_GB2312" w:eastAsia="仿宋_GB2312"/>
          <w:b w:val="0"/>
          <w:sz w:val="32"/>
        </w:rPr>
        <w:t>4.住房保障支出(类)172.10万元,占6.40%。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421.47万元，比上年决算增加139.42万元，增长49.43%,主要原因是：本年在职人员工资调增，人员经费增加；本年在职人员增加，在职人员工资调增，人员经费增加；本年增加2021-2023年学前保教费及伙食费等项目。</w:t>
      </w:r>
    </w:p>
    <w:p>
      <w:pPr>
        <w:spacing w:line="580" w:lineRule="exact"/>
        <w:ind w:firstLine="640"/>
        <w:jc w:val="both"/>
      </w:pPr>
      <w:r>
        <w:rPr>
          <w:rFonts w:ascii="仿宋_GB2312" w:hAnsi="仿宋_GB2312" w:eastAsia="仿宋_GB2312"/>
          <w:b w:val="0"/>
          <w:sz w:val="32"/>
        </w:rPr>
        <w:t>2.教育支出(类)普通教育(款)小学教育(项):支出决算数为1,079.02万元，比上年决算增加209.46万元，增长24.09%,主要原因是：本年在职人员工资调增，人员经费增加；本年在职人员增加，在职人员工资调增，人员经费增加；本年2024年义务教育公用经费等项目资金较上年增加。</w:t>
      </w:r>
    </w:p>
    <w:p>
      <w:pPr>
        <w:spacing w:line="580" w:lineRule="exact"/>
        <w:ind w:firstLine="640"/>
        <w:jc w:val="both"/>
      </w:pPr>
      <w:r>
        <w:rPr>
          <w:rFonts w:ascii="仿宋_GB2312" w:hAnsi="仿宋_GB2312" w:eastAsia="仿宋_GB2312"/>
          <w:b w:val="0"/>
          <w:sz w:val="32"/>
        </w:rPr>
        <w:t>3.教育支出(类)普通教育(款)初中教育(项):支出决算数为686.62万元，比上年决算增加72.18万元，增长11.75%,主要原因是：本年在职人员工资调增，人员经费增加；本年在职人员增加，在职人员工资调增，人员经费增加；本年2024年义务教育公用经费等项目资金较上年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31.38万元，比上年决算增加14.32万元，增长83.94%,主要原因是：本年退休人员增加，退休费支出增加；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183.11万元，比上年决算增加42.74万元，增长30.45%,主要原因是：本年在职人员工资基数调增，养老缴费基数上涨，相应支出增加；本年在职人员增加，养老保险缴费较上年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30.60万元，比上年决算增加7.70万元，增长33.62%,主要原因是：本年新增退休人员增加，职业年金缴费支出增加。</w:t>
      </w:r>
    </w:p>
    <w:p>
      <w:pPr>
        <w:spacing w:line="580" w:lineRule="exact"/>
        <w:ind w:firstLine="640"/>
        <w:jc w:val="both"/>
      </w:pPr>
      <w:r>
        <w:rPr>
          <w:rFonts w:ascii="仿宋_GB2312" w:hAnsi="仿宋_GB2312" w:eastAsia="仿宋_GB2312"/>
          <w:b w:val="0"/>
          <w:sz w:val="32"/>
        </w:rPr>
        <w:t>7.社会保障和就业支出(类)抚恤(款)死亡抚恤(项):支出决算数为19.25万元，比上年决算增加3.18万元，增长19.79%,主要原因是：本年新增死亡人员较上年增加，死亡抚恤支出增加。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64.98万元，比上年决算减少11.34万元，下降14.86%,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172.10万元，比上年决算增加35.97万元，增长26.42%,主要原因是：本年在职人员工资基数调增，公积金缴费基数上涨，相应支出增加；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2024年度一般公共预算财政拨款基本支出2,688.52万元，其中：</w:t>
      </w:r>
      <w:r>
        <w:rPr>
          <w:rFonts w:ascii="仿宋_GB2312" w:hAnsi="仿宋_GB2312" w:eastAsia="仿宋_GB2312"/>
          <w:b/>
          <w:sz w:val="32"/>
        </w:rPr>
        <w:t>人员经费2,513.49万元，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公用经费175.03万元，</w:t>
      </w:r>
      <w:r>
        <w:rPr>
          <w:rFonts w:ascii="仿宋_GB2312" w:hAnsi="仿宋_GB2312" w:eastAsia="仿宋_GB2312"/>
          <w:b w:val="0"/>
          <w:sz w:val="32"/>
        </w:rPr>
        <w:t>包括：办公费、印刷费、水费、电费、邮电费、取暖费、物业管理费、差旅费、维修（护）费、培训费、专用材料费、劳务费、其他交通费用、办公设备购置。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2024年度政府性基金预算财政拨款收入总计0.45万元，</w:t>
      </w:r>
      <w:r>
        <w:rPr>
          <w:rFonts w:ascii="仿宋_GB2312" w:hAnsi="仿宋_GB2312" w:eastAsia="仿宋_GB2312"/>
          <w:b w:val="0"/>
          <w:sz w:val="32"/>
        </w:rPr>
        <w:t>其中：年初结转和结余0.00万元，本年收入0.45万元。</w:t>
      </w:r>
      <w:r>
        <w:rPr>
          <w:rFonts w:ascii="仿宋_GB2312" w:hAnsi="仿宋_GB2312" w:eastAsia="仿宋_GB2312"/>
          <w:b/>
          <w:sz w:val="32"/>
        </w:rPr>
        <w:t>政府性基金预算财政拨款支出总计0.45万元，</w:t>
      </w:r>
      <w:r>
        <w:rPr>
          <w:rFonts w:ascii="仿宋_GB2312" w:hAnsi="仿宋_GB2312" w:eastAsia="仿宋_GB2312"/>
          <w:b w:val="0"/>
          <w:sz w:val="32"/>
        </w:rPr>
        <w:t>其中：年末结转和结余0.00万元，本年支出0.45万元。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减少1.05万元，下降70.00%，主要原因是：本年少年宫资金减少。</w:t>
      </w:r>
      <w:r>
        <w:rPr>
          <w:rFonts w:ascii="仿宋_GB2312" w:hAnsi="仿宋_GB2312" w:eastAsia="仿宋_GB2312"/>
          <w:b/>
          <w:sz w:val="32"/>
        </w:rPr>
        <w:t>与年初预算相比，</w:t>
      </w:r>
      <w:r>
        <w:rPr>
          <w:rFonts w:ascii="仿宋_GB2312" w:hAnsi="仿宋_GB2312" w:eastAsia="仿宋_GB2312"/>
          <w:b w:val="0"/>
          <w:sz w:val="32"/>
        </w:rPr>
        <w:t>年初预算数3.00万元，决算数0.45万元，预决算差异率-85.00%，主要原因是：严格落实中央八项规定精神，厉行节约，减少不必要的开支。</w:t>
      </w:r>
    </w:p>
    <w:p>
      <w:pPr>
        <w:spacing w:line="580" w:lineRule="exact"/>
        <w:ind w:firstLine="640"/>
        <w:jc w:val="both"/>
      </w:pPr>
      <w:r>
        <w:rPr>
          <w:rFonts w:ascii="仿宋_GB2312" w:hAnsi="仿宋_GB2312" w:eastAsia="仿宋_GB2312"/>
          <w:b w:val="0"/>
          <w:sz w:val="32"/>
        </w:rPr>
        <w:t>政府性基金预算财政拨款支出0.45万元。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1.其他支出(类)彩票公益金安排的支出(款)用于教育事业的彩票公益金支出(项):支出决算数为0.45万元，比上年决算减少1.05万元，下降70.00%,主要原因是：严格落实中央八项规定精神，厉行节约，减少不必要的开支。</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2024年度尼勒克县乌拉斯台镇九年制中心学校（事业单位）公用经费支出175.48万元，比上年增加36.05万元，增长25.86%，主要原因是：本年增加2021-2023年学前教育保教费，导致公用经费增加。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13,603.36平方米，价值1,231.25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2,746.26万元，实际执行总额2,746.26万元；预算绩效评价项目1个，全年预算数57.29万元，全年执行数57.29万元。预算绩效管理取得的成效：一是始终坚持以习近平新时代中国特色社会主义思想为指导，落实立德树人根本任务，加强学生行为习惯养成教育，不断提高小学生思想道德素质和文明素养。通过重大节日、纪念日、传统节日等以多种形式深入开展理想信念教育、爱国主义教育、社会主义核心价值观教育、民族团结教育、中华优秀传统文化教育等，并扎实开展好青少年“筑基”工程与“中华优秀传统文化进校园进校园”等活动，不断增强师生“五个认同”，铸牢中华民族共同体意识。学校认真落实思政课制度，学校领导带头讲思政课带动学校思政教师不断提升教育教学能力，发挥好课程育人作用，并不断加强心理健康教育工作，强化班主任的班级管理能力，进一步提升校园文化建设，努力营造积极向上的校园文化氛围,提高学校德育工作的实效；二是广泛开展教研活动，促进教师课堂教学的改革，建立教师专业发展的教研机制。（1）规定每周星期二为教研活动日，分别进行课改通识培训，收看典型课例，交流课改经验等。（2）规定每两周，进行一次集体备课，互相探讨。（3）提升教师专业化水平，为教师搭建平台，与科蒙乡中心小学结对，不定期到结对学校去听课学习或以“三个课堂”送课，取长补短。（4）坚持校本培训，按校本培训计划开展校本培训，内容涉及课件制作、硬笔书法比赛、三笔字比赛、教学大比武、教案设计比赛等；三是建立健全各类预案，使各类安全有人管、有人负责。并组织各类演练，使师生熟悉各类危险的应急处置过程。确保了校园不发生安全事故。加强教育，促进自护。利用主题班会、队会、安全专题讲座强化对各类安全教育，放学前、周末、节假日进行“1530”安全教育。确保了学校安全稳定，一年来学校没有发生任何安全事故。发现的问题及原因：一是教学质量与及教育需求的结构性矛盾。新时代教育变革速度与教师能力更新节奏存在差异。教师的教学质量与家长不断增强的教育需之间有差距，面对AI教学工具、项目式学习等新模式存在应用断层，教师能力提升迫在眉睫；二是年龄结构失衡引发系统性风险。教师年龄日趋老龄化，学校没有新鲜血液注入，活力不强，导致教学创新动能衰竭，数字化教学设备闲置。下一步改进措施：一是继续加大学校教育改革的力度，因地制宜，创造条件，提高我校教师教育改革思想认识；二是强化教师培养、培训，特别是提高教师的专业能力和水平。三是创新活动，激发教师能动性，让教师在紧张的教学中，充分释放压力，解放自我，心情愉悦，更好的服务教育教学。四是严格考核，在绩效考核上下功夫，切实体现出奖优罚劣。激发教师投身教育和奉献教育的热情和精神。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尼勒克县乌拉斯台镇九年制中心学校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2,628.85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2,746.26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2,746.26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210.79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247.58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247.58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2,268.06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2,441.39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2,441.39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57.29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1.抓好教学工作，提升教育教学质量。2.加强学生思想教育，开展德育工作。3.加强教师队伍建设。4加强法治教育和学校安全工作。5.抓好课外兴趣活动小组和社会实践活动。6.提高幼儿教学水平。</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教研，教学活动次数达到8次，开展“三进两联一交友”活动次数达到8次，开展提升教师专业水平培训次数达到5次，开展学生德育主题教育活动次数达到6次。有效提高师生整体素质，推动学校可持续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指标1：开展教研，教学活动次数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指标2：开展“三进两联一交友”活动次数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学校德育计划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指标3：开展提升教师专业水平培训次数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教研工作计划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指标4：开展学生德育主题教育活动次数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学校德育处计划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尼勒克县乌拉斯台镇九年制中心学校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尼勒克县乌拉斯台镇九年制中心学校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57.29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保障学生正常托管，减轻家长看管负担。增强教育服务能力，提高学生全面发展，及时支付教师伙食。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课后托管服务人数达到71人，课后托管社团成果展示次数达到2次，托管服务学生人数达到1128人，托管学生覆盖率达到92%，全年支付金额57.29万元，通过项目的实施，提高学生课余时间利用率达到100%，课后托管提高了教育的便利性与公平性。</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指标1：支付教师托管费服务人数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91.03%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截至2024年12月底，由于班级合并导致教师托管服务人数减少，故出现偏差。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&gt;=1126人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1128人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&lt;=54.43万元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54.43万元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指标3：保障运转水电办公经费数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&lt;=2.86万元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指标1：提高学生课余时间利用率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99.1分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