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尼勒克县中医医院2024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（1）认真贯彻执行党和国家的卫生工作方针政策，实施《医疗机构管理条例》《执业医师法》《中医药条例》等条例法规。</w:t>
      </w:r>
    </w:p>
    <w:p>
      <w:pPr>
        <w:spacing w:line="580" w:lineRule="exact"/>
        <w:ind w:firstLine="640"/>
        <w:jc w:val="both"/>
      </w:pPr>
      <w:r>
        <w:rPr>
          <w:rFonts w:ascii="仿宋_GB2312" w:hAnsi="仿宋_GB2312" w:eastAsia="仿宋_GB2312"/>
          <w:sz w:val="32"/>
        </w:rPr>
        <w:t>（2）助县卫生局编制中医民族医事业发展战略长期规划并组织实施。</w:t>
      </w:r>
    </w:p>
    <w:p>
      <w:pPr>
        <w:spacing w:line="580" w:lineRule="exact"/>
        <w:ind w:firstLine="640"/>
        <w:jc w:val="both"/>
      </w:pPr>
      <w:r>
        <w:rPr>
          <w:rFonts w:ascii="仿宋_GB2312" w:hAnsi="仿宋_GB2312" w:eastAsia="仿宋_GB2312"/>
          <w:sz w:val="32"/>
        </w:rPr>
        <w:t>（3）负责全县中医民族药研究，并不断提高中医民族医医疗水平。提升中医民族药服务能力，挖掘实践中医民族药在重大疑难、传染性疾病以及常见病、多发病、慢性病防治中具有的特有优势。</w:t>
      </w:r>
    </w:p>
    <w:p>
      <w:pPr>
        <w:spacing w:line="580" w:lineRule="exact"/>
        <w:ind w:firstLine="640"/>
        <w:jc w:val="both"/>
      </w:pPr>
      <w:r>
        <w:rPr>
          <w:rFonts w:ascii="仿宋_GB2312" w:hAnsi="仿宋_GB2312" w:eastAsia="仿宋_GB2312"/>
          <w:sz w:val="32"/>
        </w:rPr>
        <w:t>（4）负责加强中医民族人才队伍的培养。充分发挥县级中医民族药骨干带头学习作用，确定申报中医民族药继续教育项日内容，培养农村中医民族药人员的中医民族药理论知识和技能水平。</w:t>
      </w:r>
    </w:p>
    <w:p>
      <w:pPr>
        <w:spacing w:line="580" w:lineRule="exact"/>
        <w:ind w:firstLine="640"/>
        <w:jc w:val="both"/>
      </w:pPr>
      <w:r>
        <w:rPr>
          <w:rFonts w:ascii="仿宋_GB2312" w:hAnsi="仿宋_GB2312" w:eastAsia="仿宋_GB2312"/>
          <w:sz w:val="32"/>
        </w:rPr>
        <w:t>（5）协助县卫生局做好农村三级中医民族服务网络和以中医民族药社区卫生服务为基础的新型城乡中医民族服务体系，指导建设乡镇卫生院中医民族科、中药房。负责接收中医民族知识培训、技术下乡、巡回医疗等工作。</w:t>
      </w:r>
    </w:p>
    <w:p>
      <w:pPr>
        <w:spacing w:line="580" w:lineRule="exact"/>
        <w:ind w:firstLine="640"/>
        <w:jc w:val="both"/>
      </w:pPr>
      <w:r>
        <w:rPr>
          <w:rFonts w:ascii="仿宋_GB2312" w:hAnsi="仿宋_GB2312" w:eastAsia="仿宋_GB2312"/>
          <w:sz w:val="32"/>
        </w:rPr>
        <w:t>（6）以医疗服务为中心，加强中医民族专科（专病）建设充分发挥中医民族药优势，突出中医民族特色。</w:t>
      </w:r>
    </w:p>
    <w:p>
      <w:pPr>
        <w:spacing w:line="580" w:lineRule="exact"/>
        <w:ind w:firstLine="640"/>
        <w:jc w:val="both"/>
      </w:pPr>
      <w:r>
        <w:rPr>
          <w:rFonts w:ascii="仿宋_GB2312" w:hAnsi="仿宋_GB2312" w:eastAsia="仿宋_GB2312"/>
          <w:sz w:val="32"/>
        </w:rPr>
        <w:t>（7）负责开展中医民族药适宜技术的探索和推广，认真实施《中医药适宜技术推广实施方案》，结合实际，制定开展中医民族药适宜技术实施方案。</w:t>
      </w:r>
    </w:p>
    <w:p>
      <w:pPr>
        <w:spacing w:line="580" w:lineRule="exact"/>
        <w:ind w:firstLine="640"/>
        <w:jc w:val="both"/>
      </w:pPr>
      <w:r>
        <w:rPr>
          <w:rFonts w:ascii="仿宋_GB2312" w:hAnsi="仿宋_GB2312" w:eastAsia="仿宋_GB2312"/>
          <w:sz w:val="32"/>
        </w:rPr>
        <w:t>（8）责中医民族药信息网络建设，加强中医民族医文化宣传。</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尼勒克县中医医院2024年度，实有人数62人，其中：在职人员58人，增加3人；离休人员0人，增加0人；退休人员4人,减少1人。</w:t>
      </w:r>
    </w:p>
    <w:p>
      <w:pPr>
        <w:spacing w:line="580" w:lineRule="exact"/>
        <w:ind w:firstLine="640"/>
        <w:jc w:val="both"/>
      </w:pPr>
      <w:r>
        <w:rPr>
          <w:rFonts w:ascii="仿宋_GB2312" w:hAnsi="仿宋_GB2312" w:eastAsia="仿宋_GB2312"/>
          <w:sz w:val="32"/>
        </w:rPr>
        <w:t>尼勒克县中医医院无下属预算单位，下设7个科室，分别是：内科、外科、放射科、检验科、针灸科、行政、门诊部。</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2024年度收入总计2,844.23万元，</w:t>
      </w:r>
      <w:r>
        <w:rPr>
          <w:rFonts w:ascii="仿宋_GB2312" w:hAnsi="仿宋_GB2312" w:eastAsia="仿宋_GB2312"/>
          <w:b w:val="0"/>
          <w:sz w:val="32"/>
        </w:rPr>
        <w:t>其中：本年收入合计2,844.23万元，使用非财政拨款结余（含专用结余）0.00万元，年初结转和结余0.00万元。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2024年度支出总计2,844.23万元，</w:t>
      </w:r>
      <w:r>
        <w:rPr>
          <w:rFonts w:ascii="仿宋_GB2312" w:hAnsi="仿宋_GB2312" w:eastAsia="仿宋_GB2312"/>
          <w:b w:val="0"/>
          <w:sz w:val="32"/>
        </w:rPr>
        <w:t>其中：本年支出合计2,689.75万元，结余分配154.48万元，年末结转和结余0.00万元。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减少1,358.84万元，下降32.33%，主要原因是：较上年度减少平战结合和医养结合项目（设计费），医疗服务与保障能力提升（机构能力建设），  突发公共卫生事件应急处理项目资金，减少医疗服务能力提升项目（自有资金）。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本年收入2,844.23万元，</w:t>
      </w:r>
      <w:r>
        <w:rPr>
          <w:rFonts w:ascii="仿宋_GB2312" w:hAnsi="仿宋_GB2312" w:eastAsia="仿宋_GB2312"/>
          <w:b w:val="0"/>
          <w:sz w:val="32"/>
        </w:rPr>
        <w:t>其中：财政拨款收入996.94万元，占35.05%；上级补助收入0.00万元，占0.00%；事业收入1,844.36万元，占64.85%；经营收入0.00万元，占0.00%；附属单位上缴收入0.00万元，占0.00%；其他收入2.93万元，占0.10%。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本年支出2,689.75万元，</w:t>
      </w:r>
      <w:r>
        <w:rPr>
          <w:rFonts w:ascii="仿宋_GB2312" w:hAnsi="仿宋_GB2312" w:eastAsia="仿宋_GB2312"/>
          <w:b w:val="0"/>
          <w:sz w:val="32"/>
        </w:rPr>
        <w:t>其中：基本支出2,604.79万元，占96.84%；项目支出84.96万元，占3.16%；上缴上级支出0.00万元，占0.00%；经营支出0.00万元，占0.00%；对附属单位补助支出0.00万元，占0.00%。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2024年度财政拨款收入总计996.94万元，</w:t>
      </w:r>
      <w:r>
        <w:rPr>
          <w:rFonts w:ascii="仿宋_GB2312" w:hAnsi="仿宋_GB2312" w:eastAsia="仿宋_GB2312"/>
          <w:b w:val="0"/>
          <w:sz w:val="32"/>
        </w:rPr>
        <w:t>其中：年初财政拨款结转和结余0.00万元，本年财政拨款收入996.94万元。</w:t>
      </w:r>
      <w:r>
        <w:rPr>
          <w:rFonts w:ascii="仿宋_GB2312" w:hAnsi="仿宋_GB2312" w:eastAsia="仿宋_GB2312"/>
          <w:b/>
          <w:sz w:val="32"/>
        </w:rPr>
        <w:t>财政拨款支出总计996.94万元，</w:t>
      </w:r>
      <w:r>
        <w:rPr>
          <w:rFonts w:ascii="仿宋_GB2312" w:hAnsi="仿宋_GB2312" w:eastAsia="仿宋_GB2312"/>
          <w:b w:val="0"/>
          <w:sz w:val="32"/>
        </w:rPr>
        <w:t>其中：年末财政拨款结转和结余0.00万元，本年财政拨款支出996.94万元。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减少1,112.07万元，下降52.73%，主要原因是：较上年度减少平战结合和医养结合项目（设计费），医疗服务与保障能力提升（机构能力建设），  突发公共卫生事件应急处理项目资金。</w:t>
      </w:r>
      <w:r>
        <w:rPr>
          <w:rFonts w:ascii="仿宋_GB2312" w:hAnsi="仿宋_GB2312" w:eastAsia="仿宋_GB2312"/>
          <w:b/>
          <w:sz w:val="32"/>
        </w:rPr>
        <w:t>与年初预算相比，</w:t>
      </w:r>
      <w:r>
        <w:rPr>
          <w:rFonts w:ascii="仿宋_GB2312" w:hAnsi="仿宋_GB2312" w:eastAsia="仿宋_GB2312"/>
          <w:b w:val="0"/>
          <w:sz w:val="32"/>
        </w:rPr>
        <w:t>年初预算数970.14万元，决算数996.94万元，预决算差异率2.76%，主要原因是：年中追加人员工资、社保、公积金基数调增部分资金，导致预决算存在差异。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2024年度一般公共预算财政拨款支出990.48万元，</w:t>
      </w:r>
      <w:r>
        <w:rPr>
          <w:rFonts w:ascii="仿宋_GB2312" w:hAnsi="仿宋_GB2312" w:eastAsia="仿宋_GB2312"/>
          <w:b w:val="0"/>
          <w:sz w:val="32"/>
        </w:rPr>
        <w:t>占本年支出合计的36.82%。</w:t>
      </w:r>
      <w:r>
        <w:rPr>
          <w:rFonts w:ascii="仿宋_GB2312" w:hAnsi="仿宋_GB2312" w:eastAsia="仿宋_GB2312"/>
          <w:b/>
          <w:sz w:val="32"/>
        </w:rPr>
        <w:t>与上年相比，</w:t>
      </w:r>
      <w:r>
        <w:rPr>
          <w:rFonts w:ascii="仿宋_GB2312" w:hAnsi="仿宋_GB2312" w:eastAsia="仿宋_GB2312"/>
          <w:b w:val="0"/>
          <w:sz w:val="32"/>
        </w:rPr>
        <w:t>减少1,118.53万元，下降53.04%，主要原因是：较上年度减少平战结合和医养结合项目（设计费），医疗服务与保障能力提升（机构能力建设），  突发公共卫生事件应急处理项目资金。</w:t>
      </w:r>
      <w:r>
        <w:rPr>
          <w:rFonts w:ascii="仿宋_GB2312" w:hAnsi="仿宋_GB2312" w:eastAsia="仿宋_GB2312"/>
          <w:b/>
          <w:sz w:val="32"/>
        </w:rPr>
        <w:t>与年初预算相比,</w:t>
      </w:r>
      <w:r>
        <w:rPr>
          <w:rFonts w:ascii="仿宋_GB2312" w:hAnsi="仿宋_GB2312" w:eastAsia="仿宋_GB2312"/>
          <w:b w:val="0"/>
          <w:sz w:val="32"/>
        </w:rPr>
        <w:t>年初预算数964.74万元，决算数990.48万元，预决算差异率2.67%，主要原因是：年中追加人员工资、社保、公积金基数调增部分资金，导致预决算存在差异。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1.社会保障和就业支出(类)107.13万元,占10.82%。</w:t>
      </w:r>
    </w:p>
    <w:p>
      <w:pPr>
        <w:spacing w:line="580" w:lineRule="exact"/>
        <w:ind w:firstLine="640"/>
        <w:jc w:val="both"/>
      </w:pPr>
      <w:r>
        <w:rPr>
          <w:rFonts w:ascii="仿宋_GB2312" w:hAnsi="仿宋_GB2312" w:eastAsia="仿宋_GB2312"/>
          <w:b w:val="0"/>
          <w:sz w:val="32"/>
        </w:rPr>
        <w:t>2.卫生健康支出(类)808.63万元,占81.64%。</w:t>
      </w:r>
    </w:p>
    <w:p>
      <w:pPr>
        <w:spacing w:line="580" w:lineRule="exact"/>
        <w:ind w:firstLine="640"/>
        <w:jc w:val="both"/>
      </w:pPr>
      <w:r>
        <w:rPr>
          <w:rFonts w:ascii="仿宋_GB2312" w:hAnsi="仿宋_GB2312" w:eastAsia="仿宋_GB2312"/>
          <w:b w:val="0"/>
          <w:sz w:val="32"/>
        </w:rPr>
        <w:t>3.住房保障支出(类)74.72万元,占7.54%。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1.社会保障和就业支出(类)行政事业单位养老支出(款)事业单位离退休(项):支出决算数为2.29万元，比上年决算增加0.99万元，增长76.15%,主要原因是：本年增加退休人员基础绩效奖，退休费支出增加。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96.72万元，比上年决算增加3.67万元，增长3.94%,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3.社会保障和就业支出(类)行政事业单位养老支出(款)机关事业单位职业年金缴费支出(项):支出决算数为1.26万元，比上年决算减少4.02万元，下降76.14%,主要原因是：本年辞职人员较上年减少，导致经费较上年减少。</w:t>
      </w:r>
    </w:p>
    <w:p>
      <w:pPr>
        <w:spacing w:line="580" w:lineRule="exact"/>
        <w:ind w:firstLine="640"/>
        <w:jc w:val="both"/>
      </w:pPr>
      <w:r>
        <w:rPr>
          <w:rFonts w:ascii="仿宋_GB2312" w:hAnsi="仿宋_GB2312" w:eastAsia="仿宋_GB2312"/>
          <w:b w:val="0"/>
          <w:sz w:val="32"/>
        </w:rPr>
        <w:t>4.社会保障和就业支出(类)抚恤(款)死亡抚恤(项):支出决算数为6.87万元，比上年决算增加6.87万元，增长100.00%,主要原因是：本年新增死亡人员，死亡抚恤支出增加。</w:t>
      </w:r>
    </w:p>
    <w:p>
      <w:pPr>
        <w:spacing w:line="580" w:lineRule="exact"/>
        <w:ind w:firstLine="640"/>
        <w:jc w:val="both"/>
      </w:pPr>
      <w:r>
        <w:rPr>
          <w:rFonts w:ascii="仿宋_GB2312" w:hAnsi="仿宋_GB2312" w:eastAsia="仿宋_GB2312"/>
          <w:b w:val="0"/>
          <w:sz w:val="32"/>
        </w:rPr>
        <w:t>5.卫生健康支出(类)公立医院(款)中医（民族）医院(项):支出决算数为681.30万元，比上年决算减少42.64万元，下降5.89%,主要原因是：本年度减少聘用检验人员8名，故相关经费支出减少。</w:t>
      </w:r>
    </w:p>
    <w:p>
      <w:pPr>
        <w:spacing w:line="580" w:lineRule="exact"/>
        <w:ind w:firstLine="640"/>
        <w:jc w:val="both"/>
      </w:pPr>
      <w:r>
        <w:rPr>
          <w:rFonts w:ascii="仿宋_GB2312" w:hAnsi="仿宋_GB2312" w:eastAsia="仿宋_GB2312"/>
          <w:b w:val="0"/>
          <w:sz w:val="32"/>
        </w:rPr>
        <w:t>6.卫生健康支出(类)公立医院(款)其他公立医院支出(项):支出决算数为48.00万元，比上年决算减少152.00万元，下降76.00%,主要原因是：较上年减少医疗服务与保障能力提升（机构能力建设）资金。</w:t>
      </w:r>
    </w:p>
    <w:p>
      <w:pPr>
        <w:spacing w:line="580" w:lineRule="exact"/>
        <w:ind w:firstLine="640"/>
        <w:jc w:val="both"/>
      </w:pPr>
      <w:r>
        <w:rPr>
          <w:rFonts w:ascii="仿宋_GB2312" w:hAnsi="仿宋_GB2312" w:eastAsia="仿宋_GB2312"/>
          <w:b w:val="0"/>
          <w:sz w:val="32"/>
        </w:rPr>
        <w:t>7.卫生健康支出(类)公共卫生(款)重大公共卫生服务(项):支出决算数为0.50万元，比上年决算增加0.50万元，增长100.00%,主要原因是：较上年增加2024年重大传染病防控补助。</w:t>
      </w:r>
    </w:p>
    <w:p>
      <w:pPr>
        <w:spacing w:line="580" w:lineRule="exact"/>
        <w:ind w:firstLine="640"/>
        <w:jc w:val="both"/>
      </w:pPr>
      <w:r>
        <w:rPr>
          <w:rFonts w:ascii="仿宋_GB2312" w:hAnsi="仿宋_GB2312" w:eastAsia="仿宋_GB2312"/>
          <w:b w:val="0"/>
          <w:sz w:val="32"/>
        </w:rPr>
        <w:t>8.卫生健康支出(类)公共卫生(款)突发公共卫生事件应急处理(项):支出决算数为0.00万元，比上年决算减少895.40万元，下降100.00%,主要原因是：突发公共卫生事件应急处理项目资金减少，防控运转、物资保障经费减少。</w:t>
      </w:r>
    </w:p>
    <w:p>
      <w:pPr>
        <w:spacing w:line="580" w:lineRule="exact"/>
        <w:ind w:firstLine="640"/>
        <w:jc w:val="both"/>
      </w:pPr>
      <w:r>
        <w:rPr>
          <w:rFonts w:ascii="仿宋_GB2312" w:hAnsi="仿宋_GB2312" w:eastAsia="仿宋_GB2312"/>
          <w:b w:val="0"/>
          <w:sz w:val="32"/>
        </w:rPr>
        <w:t>9.卫生健康支出(类)公共卫生(款)其他公共卫生支出(项):支出决算数为30.00万元，比上年决算减少45.00万元，下降60.00%,主要原因是：减少2023年中央财政医疗服务与保障能力提升（公立医院综合改革）补助资金。</w:t>
      </w:r>
    </w:p>
    <w:p>
      <w:pPr>
        <w:spacing w:line="580" w:lineRule="exact"/>
        <w:ind w:firstLine="640"/>
        <w:jc w:val="both"/>
      </w:pPr>
      <w:r>
        <w:rPr>
          <w:rFonts w:ascii="仿宋_GB2312" w:hAnsi="仿宋_GB2312" w:eastAsia="仿宋_GB2312"/>
          <w:b w:val="0"/>
          <w:sz w:val="32"/>
        </w:rPr>
        <w:t>10.卫生健康支出(类)行政事业单位医疗(款)事业单位医疗(项):支出决算数为48.83万元，比上年决算增加5.80万元，增长13.48%,主要原因是：本年在职人员工资基数调增，医疗缴费基数上涨，相应支出增加。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11.住房保障支出(类)住房改革支出(款)住房公积金(项):支出决算数为74.72万元，比上年决算增加2.71万元，增长3.76%,主要原因是：本年在职人员工资基数调增，公积金缴费基数上涨，相应支出增加。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2024年度一般公共预算财政拨款基本支出911.98万元，其中：</w:t>
      </w:r>
      <w:r>
        <w:rPr>
          <w:rFonts w:ascii="仿宋_GB2312" w:hAnsi="仿宋_GB2312" w:eastAsia="仿宋_GB2312"/>
          <w:b/>
          <w:sz w:val="32"/>
        </w:rPr>
        <w:t>人员经费911.98万元，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包括：基本工资、津贴补贴、奖金、绩效工资、机关事业单位基本养老保险缴费、职业年金缴费、职工基本医疗保险缴费、其他社会保障缴费、住房公积金、其他工资福利支出、退休费、抚恤金、奖励金。</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2024年度政府性基金预算财政拨款收入总计6.46万元，</w:t>
      </w:r>
      <w:r>
        <w:rPr>
          <w:rFonts w:ascii="仿宋_GB2312" w:hAnsi="仿宋_GB2312" w:eastAsia="仿宋_GB2312"/>
          <w:b w:val="0"/>
          <w:sz w:val="32"/>
        </w:rPr>
        <w:t>其中：年初结转和结余0.00万元，本年收入6.46万元。</w:t>
      </w:r>
      <w:r>
        <w:rPr>
          <w:rFonts w:ascii="仿宋_GB2312" w:hAnsi="仿宋_GB2312" w:eastAsia="仿宋_GB2312"/>
          <w:b/>
          <w:sz w:val="32"/>
        </w:rPr>
        <w:t>政府性基金预算财政拨款支出总计6.46万元，</w:t>
      </w:r>
      <w:r>
        <w:rPr>
          <w:rFonts w:ascii="仿宋_GB2312" w:hAnsi="仿宋_GB2312" w:eastAsia="仿宋_GB2312"/>
          <w:b w:val="0"/>
          <w:sz w:val="32"/>
        </w:rPr>
        <w:t>其中：年末结转和结余0.00万元，本年支出6.46万元。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增加6.46万元，增长100.00%，主要原因是：本年增加 2022年自治区彩票公益金资助80岁以上老年人免费体检项目资金项目。</w:t>
      </w:r>
      <w:r>
        <w:rPr>
          <w:rFonts w:ascii="仿宋_GB2312" w:hAnsi="仿宋_GB2312" w:eastAsia="仿宋_GB2312"/>
          <w:b/>
          <w:sz w:val="32"/>
        </w:rPr>
        <w:t>与年初预算相比，</w:t>
      </w:r>
      <w:r>
        <w:rPr>
          <w:rFonts w:ascii="仿宋_GB2312" w:hAnsi="仿宋_GB2312" w:eastAsia="仿宋_GB2312"/>
          <w:b w:val="0"/>
          <w:sz w:val="32"/>
        </w:rPr>
        <w:t>年初预算数5.40万元，决算数6.46万元，预决算差异率19.63%，主要原因是：年中追加2022年自治区彩票公益金资助80岁以上老年人免费体检项目资金，导致预决算存在差异。</w:t>
      </w:r>
    </w:p>
    <w:p>
      <w:pPr>
        <w:spacing w:line="580" w:lineRule="exact"/>
        <w:ind w:firstLine="640"/>
        <w:jc w:val="both"/>
      </w:pPr>
      <w:r>
        <w:rPr>
          <w:rFonts w:ascii="仿宋_GB2312" w:hAnsi="仿宋_GB2312" w:eastAsia="仿宋_GB2312"/>
          <w:b w:val="0"/>
          <w:sz w:val="32"/>
        </w:rPr>
        <w:t>政府性基金预算财政拨款支出6.46万元。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6.46万元，比上年决算增加6.46万元，增长100.00%,主要原因是：本年增加2022年自治区彩票公益金资助80岁以上老年人免费体检项目资金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4辆，与公务用车保有量差异原因是：单位救护车，车辆费用未使用财政拨款公务用车运行维护费支付，由自有资金经费保障。</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2024年度尼勒克县中医医院（事业单位）公用经费支出0.00万元，比上年增加0.00万元，增长0.00%，主要原因是：2023年与2024年均未安排公用经费支出。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2024年度政府采购支出总额1.05万元，其中：政府采购货物支出1.05万元、政府采购工程支出0.00万元、政府采购服务支出0.00万元。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授予中小企业合同金额1.05万元，占政府采购支出总额的100.00%，其中：授予小微企业合同金额1.00万元，占政府采购支出总额的95.24%。</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27,355.00平方米，价值11,699.52万元。车辆4辆，价值92.70万元，其中：副部（省）级及以上领导用车0辆、主要负责人用车0辆、机要通信用车0辆、应急保障用车0辆、执法执勤用车0辆、特种专业技术用车0辆、离退休干部服务用车0辆、其他用车4辆，其他用车主要是：救护车用于开展医疗服务病人转运业务用车等。单价100万元（含）以上设备（不含车辆）5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2,689.75万元，实际执行总额2,689.75万元；预算绩效评价项目2个，全年预算数1,740.81万元，全年执行数1,740.81万元。预算绩效管理取得的成效：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1、项目细化管理工作不足：资本支出经费包含小类项目较多，主要是政府采购工程、货物、服务等，在执行过程中，维修费、专用材料费的使用范围并不能把握到位，造成项目遇到各种不确定因素，财政资金无法发挥最大使用效益；2、部门整体预算执行率较低，项目执行进度相对缓慢；3、内部控制制度还不够健全，缺少内控建设、风险评估和绩效评价管理方面的专业化人才，相关管理制度还有待进一步完善。下一步改进措施：1、细化预算编制工作，认真做好预算的编制。进一步加强单位内部机构各科室的预算管理意识，严格按照预算编制的相关制度和要求进行预算编制，提高预算编制的科学性、严谨性和可控性。加强内部预算编制的审核和预算控制指标的下达。2、加强财务管理，严格财务审核。加强单位财务管理，健全单位财务管理制度体系，规范单位财务行为。在费用报账支付时，按照预算规定的费用项目和用途进行资金使用审核、列报支付、财务核算，杜绝超支现象的发生。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尼勒克县中医医院</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2,728.14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2,689.75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2,689.75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78.00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85.00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85.00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892.14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911.94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911.94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1,758.00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1,692.81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1,692.81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加强医院机构能力建设,落实医保政策,充分发挥中西医结合治疗优势，推广适宜技术，开展惠民义诊活动,通过医护人员培训加强优质医疗服务人才队伍建设，严控药占比，不断提升提升群众医疗保障满意度、获得感，安全感，幸福感。</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惠民义诊活动次数达到6次，医护人员培训次数达到11次，适宜技术推广项数达到4项，门诊人次达到42150次，药品收入占医疗收入比重达到25.28%，患者满意度达到98%。通过医护人员培训加强优质医疗服务人才队伍建设，严控药占比，不断提升提升群众医疗保障满意度、获得感，安全感，幸福感。</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指标1：惠民义诊活动次数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&gt;=5次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指标2：医护人员培训次数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指标3：适宜技术推广项数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指标4：门诊人次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&gt;=4000人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42150人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指标1：药品收入占医疗收入比重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&lt;=30%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25.28%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指标1：患者满意度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2024年中央医疗服务与保障能力提升（公立医院综合改革）补助资金（伊州财社（2023）60号）</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尼勒克县中医医院</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尼勒克县中医医院</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通过购买8套专用设备，推进公立医院综合改革提供硬件设施保障，提升我院综合实力及满足临床快速发展的需求。</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我单位已完成设备购置数量达到9个，设备采购成本控制数33.8%，设备质量合格率达到100%，资金支付及时率达到100%，项目实际支出48万元，通过项目的实施，设备利用率达到100%，使用人员满意度达到93.26%。</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指标1：设备购置数量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&gt;=8个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19个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指标1：设备质量合格率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指标1：设备采购成本控制数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≤33.8万元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33.8%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指标1：设备利用率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指标1:使用人员满意度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93.26%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2024年单位自有资金（事业收入）</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尼勒克县中医医院</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尼勒克县中医医院</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1,758.00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1,692.81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1,692.81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1,758.00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1,692.81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发放93名聘用职工工资及社保；用于保障医护人员待遇。目标2：发挥中医药优势，突出中医特色，采购药品及耗材专用材料800余种，全面保障医疗业务持续开展。目标3：化解债务风险，降低资产负债率。目标4：保障医院内基本医疗、生活运转。</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保障自聘人员经费人数达到93人，医疗服务收入占比达到46.38%，设备购置数量达到9台，专用材料采购种类达到935种，公立医院平均住院天数为7.2天，项目实际支出1692.81万元。通过项目的实施，有效保障全县群众就医需求，保障医院内基本医疗、生活运转。</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指标1：保障自聘人员经费人数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指标2：医疗服务收入占比</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46.38%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41.64%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指标3：设备购置数量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19台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指标4：专用材料采购种类</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&gt;=800种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935种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指标1：公立医院平均住院天数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&lt;=8天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7.2天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7.98天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指标1：人员经费月均成本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&lt;=54.01万元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49.12万元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指标1：有效保障全县群众就医需求</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