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中共尼勒克县委员会政法委员会2024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在县委统一领导下，深入贯彻习近平新时代中国特色社会主义思想，深入贯彻党的路线方针政策和决策部署，统一政法各部门思想和行动，坚持党对政法工作的绝对领导，坚决维护党中央权威和集中统一领导。</w:t>
      </w:r>
    </w:p>
    <w:p>
      <w:pPr>
        <w:spacing w:line="580" w:lineRule="exact"/>
        <w:ind w:firstLine="640"/>
        <w:jc w:val="both"/>
      </w:pPr>
      <w:r>
        <w:rPr>
          <w:rFonts w:ascii="仿宋_GB2312" w:hAnsi="仿宋_GB2312" w:eastAsia="仿宋_GB2312"/>
          <w:sz w:val="32"/>
        </w:rPr>
        <w:t>（二）深入贯彻落实党中央决定和自治区、自治州党委及县委工作要求，对政法工作研究提出全局性部署，推进平安尼勒克、法治尼勒克建设，加强过硬队伍建设，深化智能化建设，坚决维护国家政治安全，确保社会大局WD、促进社会公平正义、保障人民安居乐业。</w:t>
      </w:r>
    </w:p>
    <w:p>
      <w:pPr>
        <w:spacing w:line="580" w:lineRule="exact"/>
        <w:ind w:firstLine="640"/>
        <w:jc w:val="both"/>
      </w:pPr>
      <w:r>
        <w:rPr>
          <w:rFonts w:ascii="仿宋_GB2312" w:hAnsi="仿宋_GB2312" w:eastAsia="仿宋_GB2312"/>
          <w:sz w:val="32"/>
        </w:rPr>
        <w:t>（三）了解掌握和分析研判政法工作情况动态，分析社会WD形势，创新完善多部门参与的综治WW工作机制，协调推动预防、化解影响稳定的社会矛盾和风险，协调应对和处置重大突发事件，指导协调重点群体教育转化和内地尼勒克籍人员服务管理。</w:t>
      </w:r>
    </w:p>
    <w:p>
      <w:pPr>
        <w:spacing w:line="580" w:lineRule="exact"/>
        <w:ind w:firstLine="640"/>
        <w:jc w:val="both"/>
      </w:pPr>
      <w:r>
        <w:rPr>
          <w:rFonts w:ascii="仿宋_GB2312" w:hAnsi="仿宋_GB2312" w:eastAsia="仿宋_GB2312"/>
          <w:sz w:val="32"/>
        </w:rPr>
        <w:t>（四）加强对政法工作的督查，统筹协调社会治安综合治理、维护社会稳定、反邪教有关法律法规政策的实施工作。</w:t>
      </w:r>
    </w:p>
    <w:p>
      <w:pPr>
        <w:spacing w:line="580" w:lineRule="exact"/>
        <w:ind w:firstLine="640"/>
        <w:jc w:val="both"/>
      </w:pPr>
      <w:r>
        <w:rPr>
          <w:rFonts w:ascii="仿宋_GB2312" w:hAnsi="仿宋_GB2312" w:eastAsia="仿宋_GB2312"/>
          <w:sz w:val="32"/>
        </w:rPr>
        <w:t>（五）组织做好政法领域调查研究，研究拟订全县政法工作重大措施，及时向县委提出建议。</w:t>
      </w:r>
    </w:p>
    <w:p>
      <w:pPr>
        <w:spacing w:line="580" w:lineRule="exact"/>
        <w:ind w:firstLine="640"/>
        <w:jc w:val="both"/>
      </w:pPr>
      <w:r>
        <w:rPr>
          <w:rFonts w:ascii="仿宋_GB2312" w:hAnsi="仿宋_GB2312" w:eastAsia="仿宋_GB2312"/>
          <w:sz w:val="32"/>
        </w:rPr>
        <w:t>（六）掌握分析政法舆情动态，指导协调政法部门媒体网络宣传工作，指导政法部门做好涉及政法工作的重大宣传工作。</w:t>
      </w:r>
    </w:p>
    <w:p>
      <w:pPr>
        <w:spacing w:line="580" w:lineRule="exact"/>
        <w:ind w:firstLine="640"/>
        <w:jc w:val="both"/>
      </w:pPr>
      <w:r>
        <w:rPr>
          <w:rFonts w:ascii="仿宋_GB2312" w:hAnsi="仿宋_GB2312" w:eastAsia="仿宋_GB2312"/>
          <w:sz w:val="32"/>
        </w:rPr>
        <w:t>（七）监督和支持政法各部门依法行使职权，指导和协调政法各部门密切配合，研究和协调重大、疑难案件，推进严格执法、公正司法。</w:t>
      </w:r>
    </w:p>
    <w:p>
      <w:pPr>
        <w:spacing w:line="580" w:lineRule="exact"/>
        <w:ind w:firstLine="640"/>
        <w:jc w:val="both"/>
      </w:pPr>
      <w:r>
        <w:rPr>
          <w:rFonts w:ascii="仿宋_GB2312" w:hAnsi="仿宋_GB2312" w:eastAsia="仿宋_GB2312"/>
          <w:sz w:val="32"/>
        </w:rPr>
        <w:t>（八）组织研究政法改革中带有方向性、倾向性和普遍性的重大问题，深化政法改革。</w:t>
      </w:r>
    </w:p>
    <w:p>
      <w:pPr>
        <w:spacing w:line="580" w:lineRule="exact"/>
        <w:ind w:firstLine="640"/>
        <w:jc w:val="both"/>
      </w:pPr>
      <w:r>
        <w:rPr>
          <w:rFonts w:ascii="仿宋_GB2312" w:hAnsi="仿宋_GB2312" w:eastAsia="仿宋_GB2312"/>
          <w:sz w:val="32"/>
        </w:rPr>
        <w:t>（十）完成县委交办的其他任务。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中共尼勒克县委员会政法委员会2024年度，实有人数27人，其中：在职人员27人，增加27人；离休人员0人，增加0人；退休人员0人,增加0人。</w:t>
      </w:r>
    </w:p>
    <w:p>
      <w:pPr>
        <w:spacing w:line="580" w:lineRule="exact"/>
        <w:ind w:firstLine="640"/>
        <w:jc w:val="both"/>
      </w:pPr>
      <w:r>
        <w:rPr>
          <w:rFonts w:ascii="仿宋_GB2312" w:hAnsi="仿宋_GB2312" w:eastAsia="仿宋_GB2312"/>
          <w:sz w:val="32"/>
        </w:rPr>
        <w:t>中共尼勒克县委员会政法委员会无下属预算单位，下设3个科室，分别是：指导室、办公室、执法监督室。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2024年度收入总计638.96万元，</w:t>
      </w:r>
      <w:r>
        <w:rPr>
          <w:rFonts w:ascii="仿宋_GB2312" w:hAnsi="仿宋_GB2312" w:eastAsia="仿宋_GB2312"/>
          <w:b w:val="0"/>
          <w:sz w:val="32"/>
        </w:rPr>
        <w:t>其中：本年收入合计638.96万元，使用非财政拨款结余（含专用结余）0.00万元，年初结转和结余0.00万元。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2024年度支出总计638.96万元，</w:t>
      </w:r>
      <w:r>
        <w:rPr>
          <w:rFonts w:ascii="仿宋_GB2312" w:hAnsi="仿宋_GB2312" w:eastAsia="仿宋_GB2312"/>
          <w:b w:val="0"/>
          <w:sz w:val="32"/>
        </w:rPr>
        <w:t>其中：本年支出合计626.86万元，结余分配0.00万元，年末结转和结余12.10万元。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增加638.96万元，增长100.00%，主要原因是：本年新增独立核算单位，无上年数据，故经费支出增加。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本年收入638.96万元，</w:t>
      </w:r>
      <w:r>
        <w:rPr>
          <w:rFonts w:ascii="仿宋_GB2312" w:hAnsi="仿宋_GB2312" w:eastAsia="仿宋_GB2312"/>
          <w:b w:val="0"/>
          <w:sz w:val="32"/>
        </w:rPr>
        <w:t>其中：财政拨款收入601.19万元，占94.09%；上级补助收入0.00万元，占0.00%；事业收入0.00万元，占0.00%；经营收入0.00万元，占0.00%；附属单位上缴收入0.00万元，占0.00%；其他收入37.77万元，占5.91%。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本年支出626.86万元，</w:t>
      </w:r>
      <w:r>
        <w:rPr>
          <w:rFonts w:ascii="仿宋_GB2312" w:hAnsi="仿宋_GB2312" w:eastAsia="仿宋_GB2312"/>
          <w:b w:val="0"/>
          <w:sz w:val="32"/>
        </w:rPr>
        <w:t>其中：基本支出626.86万元，占100.00%；项目支出0.00万元，占0.00%；上缴上级支出0.00万元，占0.00%；经营支出0.00万元，占0.00%；对附属单位补助支出0.00万元，占0.00%。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2024年度财政拨款收入总计601.19万元，</w:t>
      </w:r>
      <w:r>
        <w:rPr>
          <w:rFonts w:ascii="仿宋_GB2312" w:hAnsi="仿宋_GB2312" w:eastAsia="仿宋_GB2312"/>
          <w:b w:val="0"/>
          <w:sz w:val="32"/>
        </w:rPr>
        <w:t>其中：年初财政拨款结转和结余0.00万元，本年财政拨款收入601.19万元。</w:t>
      </w:r>
      <w:r>
        <w:rPr>
          <w:rFonts w:ascii="仿宋_GB2312" w:hAnsi="仿宋_GB2312" w:eastAsia="仿宋_GB2312"/>
          <w:b/>
          <w:sz w:val="32"/>
        </w:rPr>
        <w:t>财政拨款支出总计601.19万元，</w:t>
      </w:r>
      <w:r>
        <w:rPr>
          <w:rFonts w:ascii="仿宋_GB2312" w:hAnsi="仿宋_GB2312" w:eastAsia="仿宋_GB2312"/>
          <w:b w:val="0"/>
          <w:sz w:val="32"/>
        </w:rPr>
        <w:t>其中：年末财政拨款结转和结余0.00万元，本年财政拨款支出601.19万元。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增加601.19万元，增长100.00%，主要原因是：本年新增独立核算单位，无上年数据，故经费支出增加。</w:t>
      </w:r>
      <w:r>
        <w:rPr>
          <w:rFonts w:ascii="仿宋_GB2312" w:hAnsi="仿宋_GB2312" w:eastAsia="仿宋_GB2312"/>
          <w:b/>
          <w:sz w:val="32"/>
        </w:rPr>
        <w:t>与年初预算相比，</w:t>
      </w:r>
      <w:r>
        <w:rPr>
          <w:rFonts w:ascii="仿宋_GB2312" w:hAnsi="仿宋_GB2312" w:eastAsia="仿宋_GB2312"/>
          <w:b w:val="0"/>
          <w:sz w:val="32"/>
        </w:rPr>
        <w:t>年初预算数5,148.20万元，决算数601.19万元，预决算差异率-88.32%，主要原因是：年中调减七大中心项目款，导致预决算差异。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2024年度一般公共预算财政拨款支出601.19万元，</w:t>
      </w:r>
      <w:r>
        <w:rPr>
          <w:rFonts w:ascii="仿宋_GB2312" w:hAnsi="仿宋_GB2312" w:eastAsia="仿宋_GB2312"/>
          <w:b w:val="0"/>
          <w:sz w:val="32"/>
        </w:rPr>
        <w:t>占本年支出合计的95.90%。</w:t>
      </w:r>
      <w:r>
        <w:rPr>
          <w:rFonts w:ascii="仿宋_GB2312" w:hAnsi="仿宋_GB2312" w:eastAsia="仿宋_GB2312"/>
          <w:b/>
          <w:sz w:val="32"/>
        </w:rPr>
        <w:t>与上年相比，</w:t>
      </w:r>
      <w:r>
        <w:rPr>
          <w:rFonts w:ascii="仿宋_GB2312" w:hAnsi="仿宋_GB2312" w:eastAsia="仿宋_GB2312"/>
          <w:b w:val="0"/>
          <w:sz w:val="32"/>
        </w:rPr>
        <w:t>增加601.19万元，增长100.00%，主要原因是：本年新增独立核算单位，无上年数据，故经费支出增加。</w:t>
      </w:r>
      <w:r>
        <w:rPr>
          <w:rFonts w:ascii="仿宋_GB2312" w:hAnsi="仿宋_GB2312" w:eastAsia="仿宋_GB2312"/>
          <w:b/>
          <w:sz w:val="32"/>
        </w:rPr>
        <w:t>与年初预算相比,</w:t>
      </w:r>
      <w:r>
        <w:rPr>
          <w:rFonts w:ascii="仿宋_GB2312" w:hAnsi="仿宋_GB2312" w:eastAsia="仿宋_GB2312"/>
          <w:b w:val="0"/>
          <w:sz w:val="32"/>
        </w:rPr>
        <w:t>年初预算数5,148.20万元，决算数601.19万元，预决算差异率-88.32%，主要原因是：年中调减七大中心项目款，导致预决算差异。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1.一般公共服务支出(类)484.30万元,占80.56%。</w:t>
      </w:r>
    </w:p>
    <w:p>
      <w:pPr>
        <w:spacing w:line="580" w:lineRule="exact"/>
        <w:ind w:firstLine="640"/>
        <w:jc w:val="both"/>
      </w:pPr>
      <w:r>
        <w:rPr>
          <w:rFonts w:ascii="仿宋_GB2312" w:hAnsi="仿宋_GB2312" w:eastAsia="仿宋_GB2312"/>
          <w:b w:val="0"/>
          <w:sz w:val="32"/>
        </w:rPr>
        <w:t>2.社会保障和就业支出(类)57.40万元,占9.55%。</w:t>
      </w:r>
    </w:p>
    <w:p>
      <w:pPr>
        <w:spacing w:line="580" w:lineRule="exact"/>
        <w:ind w:firstLine="640"/>
        <w:jc w:val="both"/>
      </w:pPr>
      <w:r>
        <w:rPr>
          <w:rFonts w:ascii="仿宋_GB2312" w:hAnsi="仿宋_GB2312" w:eastAsia="仿宋_GB2312"/>
          <w:b w:val="0"/>
          <w:sz w:val="32"/>
        </w:rPr>
        <w:t>3.卫生健康支出(类)21.13万元,占3.51%。</w:t>
      </w:r>
    </w:p>
    <w:p>
      <w:pPr>
        <w:spacing w:line="580" w:lineRule="exact"/>
        <w:ind w:firstLine="640"/>
        <w:jc w:val="both"/>
      </w:pPr>
      <w:r>
        <w:rPr>
          <w:rFonts w:ascii="仿宋_GB2312" w:hAnsi="仿宋_GB2312" w:eastAsia="仿宋_GB2312"/>
          <w:b w:val="0"/>
          <w:sz w:val="32"/>
        </w:rPr>
        <w:t>4.住房保障支出(类)38.35万元,占6.38%。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其他政府办公厅（室）及相关机构事务支出(项):支出决算数为5.00万元，比上年决算增加5.00万元，增长100.00%,主要原因是：本年新增独立核算单位，无上年数据，故经费支出增加。</w:t>
      </w:r>
    </w:p>
    <w:p>
      <w:pPr>
        <w:spacing w:line="580" w:lineRule="exact"/>
        <w:ind w:firstLine="640"/>
        <w:jc w:val="both"/>
      </w:pPr>
      <w:r>
        <w:rPr>
          <w:rFonts w:ascii="仿宋_GB2312" w:hAnsi="仿宋_GB2312" w:eastAsia="仿宋_GB2312"/>
          <w:b w:val="0"/>
          <w:sz w:val="32"/>
        </w:rPr>
        <w:t>2.一般公共服务支出(类)财政事务(款)行政运行(项):支出决算数为11.00万元，比上年决算增加11.00万元，增长100.00%,主要原因是：本年新增独立核算单位，无上年数据，故经费支出增加。</w:t>
      </w:r>
    </w:p>
    <w:p>
      <w:pPr>
        <w:spacing w:line="580" w:lineRule="exact"/>
        <w:ind w:firstLine="640"/>
        <w:jc w:val="both"/>
      </w:pPr>
      <w:r>
        <w:rPr>
          <w:rFonts w:ascii="仿宋_GB2312" w:hAnsi="仿宋_GB2312" w:eastAsia="仿宋_GB2312"/>
          <w:b w:val="0"/>
          <w:sz w:val="32"/>
        </w:rPr>
        <w:t>3.一般公共服务支出(类)党委办公厅（室）及相关机构事务(款)行政运行(项):支出决算数为395.27万元，比上年决算增加395.27万元，增长100.00%,主要原因是：本年新增独立核算单位，无上年数据，故经费支出增加。</w:t>
      </w:r>
    </w:p>
    <w:p>
      <w:pPr>
        <w:spacing w:line="580" w:lineRule="exact"/>
        <w:ind w:firstLine="640"/>
        <w:jc w:val="both"/>
      </w:pPr>
      <w:r>
        <w:rPr>
          <w:rFonts w:ascii="仿宋_GB2312" w:hAnsi="仿宋_GB2312" w:eastAsia="仿宋_GB2312"/>
          <w:b w:val="0"/>
          <w:sz w:val="32"/>
        </w:rPr>
        <w:t>4.一般公共服务支出(类)党委办公厅（室）及相关机构事务(款)其他党委办公厅（室）及相关机构事务支出(项):支出决算数为73.03万元，比上年决算增加73.03万元，增长100.00%,主要原因是：本年新增独立核算单位，无上年数据，故经费支出增加。</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5.社会保障和就业支出(类)行政事业单位养老支出(款)行政单位离退休(项):支出决算数为8.21万元，比上年决算增加8.21万元，增长100.00%,主要原因是：本年新增独立核算单位，无上年数据，故经费支出增加。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40.88万元，比上年决算增加40.88万元，增长100.00%,主要原因是：本年新增独立核算单位，无上年数据，故经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8.32万元，比上年决算增加8.32万元，增长100.00%,主要原因是：本年新增独立核算单位，无上年数据，故经费支出增加。</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8.卫生健康支出(类)行政事业单位医疗(款)行政单位医疗(项):支出决算数为8.95万元，比上年决算增加8.95万元，增长100.00%,主要原因是：本年新增独立核算单位，无上年数据，故经费支出增加。</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9.卫生健康支出(类)行政事业单位医疗(款)事业单位医疗(项):支出决算数为11.65万元，比上年决算增加11.65万元，增长100.00%,主要原因是：本年新增独立核算单位，无上年数据，故经费支出增加。</w:t>
      </w:r>
    </w:p>
    <w:p>
      <w:pPr>
        <w:spacing w:line="580" w:lineRule="exact"/>
        <w:ind w:firstLine="640"/>
        <w:jc w:val="both"/>
      </w:pPr>
      <w:r>
        <w:rPr>
          <w:rFonts w:ascii="仿宋_GB2312" w:hAnsi="仿宋_GB2312" w:eastAsia="仿宋_GB2312"/>
          <w:b w:val="0"/>
          <w:sz w:val="32"/>
        </w:rPr>
        <w:t>10.卫生健康支出(类)行政事业单位医疗(款)公务员医疗补助(项):支出决算数为0.54万元，比上年决算增加0.54万元，增长100.00%,主要原因是：本年新增独立核算单位，无上年数据，故经费支出增加。</w:t>
      </w:r>
    </w:p>
    <w:p>
      <w:pPr>
        <w:spacing w:line="580" w:lineRule="exact"/>
        <w:ind w:firstLine="640"/>
        <w:jc w:val="both"/>
      </w:pPr>
      <w:r>
        <w:rPr>
          <w:rFonts w:ascii="仿宋_GB2312" w:hAnsi="仿宋_GB2312" w:eastAsia="仿宋_GB2312"/>
          <w:b w:val="0"/>
          <w:sz w:val="32"/>
        </w:rPr>
        <w:t>11.住房保障支出(类)住房改革支出(款)住房公积金(项):支出决算数为38.35万元，比上年决算增加38.35万元，增长100.00%,主要原因是：本年新增独立核算单位，无上年数据，故经费支出增加。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2024年度一般公共预算财政拨款基本支出601.19万元，其中：</w:t>
      </w:r>
      <w:r>
        <w:rPr>
          <w:rFonts w:ascii="仿宋_GB2312" w:hAnsi="仿宋_GB2312" w:eastAsia="仿宋_GB2312"/>
          <w:b/>
          <w:sz w:val="32"/>
        </w:rPr>
        <w:t>人员经费531.54万元，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生活补助、奖励金。</w:t>
      </w:r>
    </w:p>
    <w:p>
      <w:pPr>
        <w:spacing w:line="580" w:lineRule="exact"/>
        <w:ind w:firstLine="640"/>
        <w:jc w:val="both"/>
      </w:pPr>
      <w:r>
        <w:rPr>
          <w:rFonts w:ascii="仿宋_GB2312" w:hAnsi="仿宋_GB2312" w:eastAsia="仿宋_GB2312"/>
          <w:b/>
          <w:sz w:val="32"/>
        </w:rPr>
        <w:t>公用经费69.65万元，</w:t>
      </w:r>
      <w:r>
        <w:rPr>
          <w:rFonts w:ascii="仿宋_GB2312" w:hAnsi="仿宋_GB2312" w:eastAsia="仿宋_GB2312"/>
          <w:b w:val="0"/>
          <w:sz w:val="32"/>
        </w:rPr>
        <w:t>包括：办公费、印刷费、电费、差旅费、其他交通费用、专用设备购置。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尼勒克县委员会政法委员会（行政单位和参照公务员法管理事业单位）机关运行经费支出69.65万元，比上年增加69.65万元，增长100.00%，主要原因是：本年新增独立核算单位，无上年数据，故经费支出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2024年度政府采购支出总额69.65万元，其中：政府采购货物支出69.65万元、政府采购工程支出0.00万元、政府采购服务支出0.00万元。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授予中小企业合同金额4.32万元，占政府采购支出总额的6.20%，其中：授予小微企业合同金额4.32万元，占政府采购支出总额的6.20%。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0.00万元，实际执行总额0.00万元；预算绩效评价项目0个，全年预算数0.00万元，全年执行数0.00万元。预算绩效管理取得的成效：本单位绩效自评项目涉密不予公开。发现的问题及原因：本单位绩效自评项目涉密不予公开。下一步改进措施：本单位绩效自评项目涉密不予公开。具体附整体支出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本年度本单位整体绩效自评表不予公开。本年本单位SM项目5个，全年预算数1,235.33万元，全年执行数1,145.33万元。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