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中共尼勒克县委员会宣传部2024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宣传部主要职能大致包括以下几个方面。</w:t>
      </w:r>
    </w:p>
    <w:p>
      <w:pPr>
        <w:spacing w:line="580" w:lineRule="exact"/>
        <w:ind w:firstLine="640"/>
        <w:jc w:val="both"/>
      </w:pPr>
      <w:r>
        <w:rPr>
          <w:rFonts w:ascii="仿宋_GB2312" w:hAnsi="仿宋_GB2312" w:eastAsia="仿宋_GB2312"/>
          <w:sz w:val="32"/>
        </w:rPr>
        <w:t>意识形态工作：负责指导全县意识形态领域工作，贯彻落实党中央和上级党委关于意识形态工作的决策部署，统筹协调意识形态领域的重大问题，维护意识形态安全。</w:t>
      </w:r>
    </w:p>
    <w:p>
      <w:pPr>
        <w:spacing w:line="580" w:lineRule="exact"/>
        <w:ind w:firstLine="640"/>
        <w:jc w:val="both"/>
      </w:pPr>
      <w:r>
        <w:rPr>
          <w:rFonts w:ascii="仿宋_GB2312" w:hAnsi="仿宋_GB2312" w:eastAsia="仿宋_GB2312"/>
          <w:sz w:val="32"/>
        </w:rPr>
        <w:t>理论武装工作：组织开展理论学习、宣传和研究，推动习近平新时代中国特色社会主义思想深入人心，指导各级党组织的理论学习，做好党员干部的理论教育和思想引导。</w:t>
      </w:r>
    </w:p>
    <w:p>
      <w:pPr>
        <w:spacing w:line="580" w:lineRule="exact"/>
        <w:ind w:firstLine="640"/>
        <w:jc w:val="both"/>
      </w:pPr>
      <w:r>
        <w:rPr>
          <w:rFonts w:ascii="仿宋_GB2312" w:hAnsi="仿宋_GB2312" w:eastAsia="仿宋_GB2312"/>
          <w:sz w:val="32"/>
        </w:rPr>
        <w:t>新闻舆论工作：统筹管理新闻宣传工作，指导新闻单位的业务开展，把握新闻舆论导向，组织重大新闻报道，协调处置突发公共事件的新闻应对，规范新闻发布制度。</w:t>
      </w:r>
    </w:p>
    <w:p>
      <w:pPr>
        <w:spacing w:line="580" w:lineRule="exact"/>
        <w:ind w:firstLine="640"/>
        <w:jc w:val="both"/>
      </w:pPr>
      <w:r>
        <w:rPr>
          <w:rFonts w:ascii="仿宋_GB2312" w:hAnsi="仿宋_GB2312" w:eastAsia="仿宋_GB2312"/>
          <w:sz w:val="32"/>
        </w:rPr>
        <w:t>精神文明建设：拟订精神文明建设规划并组织实施，指导开展文明城市、文明村镇、文明单位等创建活动，推进公民思想道德建设，弘扬社会主义核心价值观，开展志愿服务和新时代文明实践中心建设工作。</w:t>
      </w:r>
    </w:p>
    <w:p>
      <w:pPr>
        <w:spacing w:line="580" w:lineRule="exact"/>
        <w:ind w:firstLine="640"/>
        <w:jc w:val="both"/>
      </w:pPr>
      <w:r>
        <w:rPr>
          <w:rFonts w:ascii="仿宋_GB2312" w:hAnsi="仿宋_GB2312" w:eastAsia="仿宋_GB2312"/>
          <w:sz w:val="32"/>
        </w:rPr>
        <w:t>文化建设工作：指导文化事业和文化产业发展，协调文化领域的重大活动，推动优秀传统文化、红色文化的传承与弘扬，管理和引导社会文化生活。</w:t>
      </w:r>
    </w:p>
    <w:p>
      <w:pPr>
        <w:spacing w:line="580" w:lineRule="exact"/>
        <w:ind w:firstLine="640"/>
        <w:jc w:val="both"/>
      </w:pPr>
      <w:r>
        <w:rPr>
          <w:rFonts w:ascii="仿宋_GB2312" w:hAnsi="仿宋_GB2312" w:eastAsia="仿宋_GB2312"/>
          <w:sz w:val="32"/>
        </w:rPr>
        <w:t>网络舆情管理：负责网络意识形态工作，监管网络舆情，协调处置网络不良信息，引导网络舆论，维护网络安全和信息传播秩序。</w:t>
      </w:r>
    </w:p>
    <w:p>
      <w:pPr>
        <w:spacing w:line="580" w:lineRule="exact"/>
        <w:ind w:firstLine="640"/>
        <w:jc w:val="both"/>
      </w:pPr>
      <w:r>
        <w:rPr>
          <w:rFonts w:ascii="仿宋_GB2312" w:hAnsi="仿宋_GB2312" w:eastAsia="仿宋_GB2312"/>
          <w:sz w:val="32"/>
        </w:rPr>
        <w:t>对外宣传工作：组织开展对外宣传和文化交流活动，塑造尼勒克县良好形象，提升地方知名度和影响力。</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中共尼勒克县委员会宣传部2024年度，实有人数16人，其中：在职人员13人，增加13人；离休人员0人，增加0人；退休人员3人,增加3人。</w:t>
      </w:r>
    </w:p>
    <w:p>
      <w:pPr>
        <w:spacing w:line="580" w:lineRule="exact"/>
        <w:ind w:firstLine="640"/>
        <w:jc w:val="both"/>
      </w:pPr>
      <w:r>
        <w:rPr>
          <w:rFonts w:ascii="仿宋_GB2312" w:hAnsi="仿宋_GB2312" w:eastAsia="仿宋_GB2312"/>
          <w:sz w:val="32"/>
        </w:rPr>
        <w:t>中共尼勒克县委员会宣传部无下属预算单位，下设1个科室，分别是：无。</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2024年度收入总计350.11万元，</w:t>
      </w:r>
      <w:r>
        <w:rPr>
          <w:rFonts w:ascii="仿宋_GB2312" w:hAnsi="仿宋_GB2312" w:eastAsia="仿宋_GB2312"/>
          <w:b w:val="0"/>
          <w:sz w:val="32"/>
        </w:rPr>
        <w:t>其中：本年收入合计350.11万元，使用非财政拨款结余（含专用结余）0.00万元，年初结转和结余0.00万元。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2024年度支出总计350.11万元，</w:t>
      </w:r>
      <w:r>
        <w:rPr>
          <w:rFonts w:ascii="仿宋_GB2312" w:hAnsi="仿宋_GB2312" w:eastAsia="仿宋_GB2312"/>
          <w:b w:val="0"/>
          <w:sz w:val="32"/>
        </w:rPr>
        <w:t>其中：本年支出合计350.11万元，结余分配0.00万元，年末结转和结余0.00万元。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增加350.11万元，增长100.00%，主要原因是：本单位2024年为新增单位，上年无数据。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本年收入350.11万元，</w:t>
      </w:r>
      <w:r>
        <w:rPr>
          <w:rFonts w:ascii="仿宋_GB2312" w:hAnsi="仿宋_GB2312" w:eastAsia="仿宋_GB2312"/>
          <w:b w:val="0"/>
          <w:sz w:val="32"/>
        </w:rPr>
        <w:t>其中：财政拨款收入323.30万元，占92.34%；上级补助收入0.00万元，占0.00%；事业收入0.00万元，占0.00%；经营收入0.00万元，占0.00%；附属单位上缴收入0.00万元，占0.00%；其他收入26.81万元，占7.66%。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本年支出350.11万元，</w:t>
      </w:r>
      <w:r>
        <w:rPr>
          <w:rFonts w:ascii="仿宋_GB2312" w:hAnsi="仿宋_GB2312" w:eastAsia="仿宋_GB2312"/>
          <w:b w:val="0"/>
          <w:sz w:val="32"/>
        </w:rPr>
        <w:t>其中：基本支出350.11万元，占100.00%；项目支出0.00万元，占0.00%；上缴上级支出0.00万元，占0.00%；经营支出0.00万元，占0.00%；对附属单位补助支出0.00万元，占0.00%。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2024年度财政拨款收入总计323.30万元，</w:t>
      </w:r>
      <w:r>
        <w:rPr>
          <w:rFonts w:ascii="仿宋_GB2312" w:hAnsi="仿宋_GB2312" w:eastAsia="仿宋_GB2312"/>
          <w:b w:val="0"/>
          <w:sz w:val="32"/>
        </w:rPr>
        <w:t>其中：年初财政拨款结转和结余0.00万元，本年财政拨款收入323.30万元。</w:t>
      </w:r>
      <w:r>
        <w:rPr>
          <w:rFonts w:ascii="仿宋_GB2312" w:hAnsi="仿宋_GB2312" w:eastAsia="仿宋_GB2312"/>
          <w:b/>
          <w:sz w:val="32"/>
        </w:rPr>
        <w:t>财政拨款支出总计323.30万元，</w:t>
      </w:r>
      <w:r>
        <w:rPr>
          <w:rFonts w:ascii="仿宋_GB2312" w:hAnsi="仿宋_GB2312" w:eastAsia="仿宋_GB2312"/>
          <w:b w:val="0"/>
          <w:sz w:val="32"/>
        </w:rPr>
        <w:t>其中：年末财政拨款结转和结余0.00万元，本年财政拨款支出323.30万元。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增加323.30万元，增长100.00%，主要原因是：本单位2024年为新增单位，上年无数据。</w:t>
      </w:r>
      <w:r>
        <w:rPr>
          <w:rFonts w:ascii="仿宋_GB2312" w:hAnsi="仿宋_GB2312" w:eastAsia="仿宋_GB2312"/>
          <w:b/>
          <w:sz w:val="32"/>
        </w:rPr>
        <w:t>与年初预算相比，</w:t>
      </w:r>
      <w:r>
        <w:rPr>
          <w:rFonts w:ascii="仿宋_GB2312" w:hAnsi="仿宋_GB2312" w:eastAsia="仿宋_GB2312"/>
          <w:b w:val="0"/>
          <w:sz w:val="32"/>
        </w:rPr>
        <w:t>年初预算数251.67万元，决算数323.30万元，预决算差异率28.46%，主要原因是：本年在职人员工资绩效增加、宣传文化项目费用增加，年中追加预算，导致预决算差异。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2024年度一般公共预算财政拨款支出323.30万元，</w:t>
      </w:r>
      <w:r>
        <w:rPr>
          <w:rFonts w:ascii="仿宋_GB2312" w:hAnsi="仿宋_GB2312" w:eastAsia="仿宋_GB2312"/>
          <w:b w:val="0"/>
          <w:sz w:val="32"/>
        </w:rPr>
        <w:t>占本年支出合计的92.34%。</w:t>
      </w:r>
      <w:r>
        <w:rPr>
          <w:rFonts w:ascii="仿宋_GB2312" w:hAnsi="仿宋_GB2312" w:eastAsia="仿宋_GB2312"/>
          <w:b/>
          <w:sz w:val="32"/>
        </w:rPr>
        <w:t>与上年相比，</w:t>
      </w:r>
      <w:r>
        <w:rPr>
          <w:rFonts w:ascii="仿宋_GB2312" w:hAnsi="仿宋_GB2312" w:eastAsia="仿宋_GB2312"/>
          <w:b w:val="0"/>
          <w:sz w:val="32"/>
        </w:rPr>
        <w:t>增加323.30万元，增长100.00%，主要原因是：本单位2024年为新增单位，上年无数据。</w:t>
      </w:r>
      <w:r>
        <w:rPr>
          <w:rFonts w:ascii="仿宋_GB2312" w:hAnsi="仿宋_GB2312" w:eastAsia="仿宋_GB2312"/>
          <w:b/>
          <w:sz w:val="32"/>
        </w:rPr>
        <w:t>与年初预算相比,</w:t>
      </w:r>
      <w:r>
        <w:rPr>
          <w:rFonts w:ascii="仿宋_GB2312" w:hAnsi="仿宋_GB2312" w:eastAsia="仿宋_GB2312"/>
          <w:b w:val="0"/>
          <w:sz w:val="32"/>
        </w:rPr>
        <w:t>年初预算数251.67万元，决算数323.30万元，预决算差异率28.46%，主要原因是：本年在职人员工资绩效增加、宣传文化项目费用增加，年中追加预算，导致预决算差异。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1.一般公共服务支出(类)259.93万元,占80.40%。</w:t>
      </w:r>
    </w:p>
    <w:p>
      <w:pPr>
        <w:spacing w:line="580" w:lineRule="exact"/>
        <w:ind w:firstLine="640"/>
        <w:jc w:val="both"/>
      </w:pPr>
      <w:r>
        <w:rPr>
          <w:rFonts w:ascii="仿宋_GB2312" w:hAnsi="仿宋_GB2312" w:eastAsia="仿宋_GB2312"/>
          <w:b w:val="0"/>
          <w:sz w:val="32"/>
        </w:rPr>
        <w:t>2.文化旅游体育与传媒支出(类)4.52万元,占1.40%。</w:t>
      </w:r>
    </w:p>
    <w:p>
      <w:pPr>
        <w:spacing w:line="580" w:lineRule="exact"/>
        <w:ind w:firstLine="640"/>
        <w:jc w:val="both"/>
      </w:pPr>
      <w:r>
        <w:rPr>
          <w:rFonts w:ascii="仿宋_GB2312" w:hAnsi="仿宋_GB2312" w:eastAsia="仿宋_GB2312"/>
          <w:b w:val="0"/>
          <w:sz w:val="32"/>
        </w:rPr>
        <w:t>3.社会保障和就业支出(类)27.98万元,占8.65%。</w:t>
      </w:r>
    </w:p>
    <w:p>
      <w:pPr>
        <w:spacing w:line="580" w:lineRule="exact"/>
        <w:ind w:firstLine="640"/>
        <w:jc w:val="both"/>
      </w:pPr>
      <w:r>
        <w:rPr>
          <w:rFonts w:ascii="仿宋_GB2312" w:hAnsi="仿宋_GB2312" w:eastAsia="仿宋_GB2312"/>
          <w:b w:val="0"/>
          <w:sz w:val="32"/>
        </w:rPr>
        <w:t>4.卫生健康支出(类)11.78万元,占3.64%。</w:t>
      </w:r>
    </w:p>
    <w:p>
      <w:pPr>
        <w:spacing w:line="580" w:lineRule="exact"/>
        <w:ind w:firstLine="640"/>
        <w:jc w:val="both"/>
      </w:pPr>
      <w:r>
        <w:rPr>
          <w:rFonts w:ascii="仿宋_GB2312" w:hAnsi="仿宋_GB2312" w:eastAsia="仿宋_GB2312"/>
          <w:b w:val="0"/>
          <w:sz w:val="32"/>
        </w:rPr>
        <w:t>5.住房保障支出(类)19.09万元,占5.90%。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1.一般公共服务支出(类)宣传事务(款)行政运行(项):支出决算数为259.93万元，比上年决算增加259.93万元，增长100.00%,主要原因是：本单位2024年为新增单位，上年无数据。</w:t>
      </w:r>
    </w:p>
    <w:p>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2.文化旅游体育与传媒支出(类)文化和旅游(款)其他文化和旅游支出(项):支出决算数为1.93万元，比上年决算增加1.93万元，增长100.00%,主要原因是：本单位2024年为新增单位，上年无数据。</w:t>
      </w:r>
    </w:p>
    <w:p>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3.文化旅游体育与传媒支出(类)其他文化旅游体育与传媒支出(款)其他文化旅游体育与传媒支出(项):支出决算数为2.59万元，比上年决算增加2.59万元，增长100.00%,主要原因是：本单位2024年为新增单位，上年无数据。</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4.社会保障和就业支出(类)行政事业单位养老支出(款)行政单位离退休(项):支出决算数为1.63万元，比上年决算增加1.63万元，增长100.00%,主要原因是：本单位2024年为新增单位，上年无数据。</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5.社会保障和就业支出(类)行政事业单位养老支出(款)事业单位离退休(项):支出决算数为0.53万元，比上年决算增加0.53万元，增长100.00%,主要原因是：本单位2024年为新增单位，上年无数据。</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6.社会保障和就业支出(类)行政事业单位养老支出(款)机关事业单位基本养老保险缴费支出(项):支出决算数为25.82万元，比上年决算增加25.82万元，增长100.00%,主要原因是：本单位2024年为新增单位，上年无数据。</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7.卫生健康支出(类)行政事业单位医疗(款)行政单位医疗(项):支出决算数为4.45万元，比上年决算增加4.45万元，增长100.00%,主要原因是：本单位2024年为新增单位，上年无数据。</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8.卫生健康支出(类)行政事业单位医疗(款)事业单位医疗(项):支出决算数为7.16万元，比上年决算增加7.16万元，增长100.00%,主要原因是：本单位2024年为新增单位，上年无数据。</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9.卫生健康支出(类)行政事业单位医疗(款)公务员医疗补助(项):支出决算数为0.17万元，比上年决算增加0.17万元，增长100.00%,主要原因是：本单位2024年为新增单位，上年无数据。</w:t>
      </w:r>
    </w:p>
    <w:p>
      <w:pPr>
        <w:spacing w:line="580" w:lineRule="exact"/>
        <w:ind w:firstLine="640"/>
        <w:jc w:val="both"/>
      </w:pPr>
      <w:r>
        <w:rPr>
          <w:rFonts w:ascii="仿宋_GB2312" w:hAnsi="仿宋_GB2312" w:eastAsia="仿宋_GB2312"/>
          <w:b w:val="0"/>
          <w:sz w:val="32"/>
        </w:rPr>
        <w:t>10.住房保障支出(类)住房改革支出(款)住房公积金(项):支出决算数为19.09万元，比上年决算增加19.09万元，增长100.00%,主要原因是：本单位2024年为新增单位，上年无数据。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2024年度一般公共预算财政拨款基本支出323.30万元，其中：</w:t>
      </w:r>
      <w:r>
        <w:rPr>
          <w:rFonts w:ascii="仿宋_GB2312" w:hAnsi="仿宋_GB2312" w:eastAsia="仿宋_GB2312"/>
          <w:b/>
          <w:sz w:val="32"/>
        </w:rPr>
        <w:t>人员经费235.03万元，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公用经费88.27万元，</w:t>
      </w:r>
      <w:r>
        <w:rPr>
          <w:rFonts w:ascii="仿宋_GB2312" w:hAnsi="仿宋_GB2312" w:eastAsia="仿宋_GB2312"/>
          <w:b w:val="0"/>
          <w:sz w:val="32"/>
        </w:rPr>
        <w:t>包括：办公费、印刷费、邮电费、差旅费、维修（护）费、租赁费、培训费、委托业务费、公务用车运行维护费。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2024年度财政拨款“三公”经费支出4.45万元，</w:t>
      </w:r>
      <w:r>
        <w:rPr>
          <w:rFonts w:ascii="仿宋_GB2312" w:hAnsi="仿宋_GB2312" w:eastAsia="仿宋_GB2312"/>
          <w:b w:val="0"/>
          <w:sz w:val="32"/>
        </w:rPr>
        <w:t>比上年增加4.45万元，增长100.00%，主要原因是：本单位2024年为新增单位，上年无数据。</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公务用车购置及运行维护费支出4.45万元，占100.00%，比上年增加4.45万元，增长100.00%，主要原因是：本单位2024年为新增单位，上年无数据。</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4.45万元，其中：公务用车购置费0.00万元，公务用车运行维护费4.45万元。公务用车运行维护费开支内容包括车辆加油费、维修费、保险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4.45万元，决算数4.45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4.45万元，决算数4.45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2024年度中共尼勒克县委员会宣传部（行政单位和参照公务员法管理事业单位）机关运行经费支出88.27万元，比上年增加88.27万元，增长100.00%，主要原因是：本单位2024年为新增单位，上年无数据。</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2024年度政府采购支出总额0.39万元，其中：政府采购货物支出0.00万元、政府采购工程支出0.00万元、政府采购服务支出0.39万元。</w:t>
      </w:r>
    </w:p>
    <w:p>
      <w:pPr>
        <w:spacing w:line="580" w:lineRule="exact"/>
        <w:ind w:firstLine="640"/>
        <w:jc w:val="both"/>
      </w:pPr>
      <w:r>
        <w:rPr>
          <w:rFonts w:ascii="仿宋_GB2312" w:hAnsi="仿宋_GB2312" w:eastAsia="仿宋_GB2312"/>
          <w:b w:val="0"/>
          <w:sz w:val="32"/>
        </w:rPr>
        <w:t>授予中小企业合同金额0.39万元，占政府采购支出总额的100.00%，其中：授予小微企业合同金额0.39万元，占政府采购支出总额的100.00%。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27.00万元，其中：副部（省）级及以上领导用车0辆、主要负责人用车1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350.11万元，实际执行总额350.11万元；预算绩效评价项目1个，全年预算数26.81万元，全年执行数26.81万元。预算绩效管理取得的成效：一是建立了基本绩效管理框架，提升了财政资金使用效率。二是绩效评价机制不断完善。三是预算绩效观念逐步提高。发现的问题及原因：一是建立了基本绩效管理框架，提升了财政资金使用效率。二是绩效评价机制不断完善。三是预算绩效观念逐步提高。下一步改进措施：一是强化绩效目标管理，确保目标设置科学合理。二是加强专业力量，不断提升专业知识。三是完善绩效监控机制，建立实时数据监控体系。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中共尼勒克县委员会宣传部</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259.75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350.11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350.11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232.75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305.10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305.10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本年计划完成文明实践和精神文明活动、扫黄打非活动、宣讲活动、媒体宣传活动等2024年度重点工作，保障全县宣传工作有序开展。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文明实践和精神文明活动次数达到12次，开展扫黄打非活动次数达到15次，开展宣讲活动次数达到12次，开展媒体宣传活动次数达到89次。保障全县宣传工作有序开展，有效提高全民素养。</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开展文明实践和精神文明活动次数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宣传部2024年工作计划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开展扫黄打非活动次数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宣传部2024年工作计划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开展宣讲活动次数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宣传部2024年工作计划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开展媒体宣传活动次数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&gt;=78次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宣传部2024年工作计划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2024年宣传部自有资金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中共尼勒克县委员会宣传部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中共尼勒克县委员会宣传部</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目标1：项目计划保障21名工作人员正常开展工作，推动全县宣传工作的开展。目标2：项目计划开展6次宣传活动，引导群众树立正确的观念。</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保障21名工作人员正常开展工作工作，推动全县宣传工作的开展。开展了6次宣传活动，引导群众树立正确的观念。</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指标2：开展宣传活动次数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指标3：开展宣传活动天数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&lt;=0.24万元/人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0.24万元/人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指标2：开展宣传活动平均成本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&lt;=3.628万元/次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3.628万元/次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指标1：引导群众建立正确的观念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有效引导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