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中共尼勒克县委会员统战部2024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坚持和加强党对统战工作的集中统一领导。贯彻落实党中央和自治区、自治州党委关于统战发挥县委在统战工作方面的参谋机构、组织协调机构、具体执行机构、督查检查作用，了解情况、掌握政策、协调关系，安排人事、增进共识、加强团结，协调统一战线各方面关系，巩固壮大最广泛的统一战线。</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中共尼勒克县委会员统战部2024年度，实有人数25人，其中：在职人员15人，增加15人；离休人员0人，增加0人；退休人员10人,增加10人。</w:t>
      </w:r>
    </w:p>
    <w:p>
      <w:pPr>
        <w:spacing w:line="580" w:lineRule="exact"/>
        <w:ind w:firstLine="640"/>
        <w:jc w:val="both"/>
      </w:pPr>
      <w:r>
        <w:rPr>
          <w:rFonts w:ascii="仿宋_GB2312" w:hAnsi="仿宋_GB2312" w:eastAsia="仿宋_GB2312"/>
          <w:sz w:val="32"/>
        </w:rPr>
        <w:t>中共尼勒克县委会员统战部无下属预算单位，下设4个科室，分别是：民族团结中心、伊斯兰教协会、宗教科、办公室。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2024年度收入总计506.53万元，</w:t>
      </w:r>
      <w:r>
        <w:rPr>
          <w:rFonts w:ascii="仿宋_GB2312" w:hAnsi="仿宋_GB2312" w:eastAsia="仿宋_GB2312"/>
          <w:b w:val="0"/>
          <w:sz w:val="32"/>
        </w:rPr>
        <w:t>其中：本年收入合计506.53万元，使用非财政拨款结余（含专用结余）0.00万元，年初结转和结余0.00万元。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2024年度支出总计506.53万元，</w:t>
      </w:r>
      <w:r>
        <w:rPr>
          <w:rFonts w:ascii="仿宋_GB2312" w:hAnsi="仿宋_GB2312" w:eastAsia="仿宋_GB2312"/>
          <w:b w:val="0"/>
          <w:sz w:val="32"/>
        </w:rPr>
        <w:t>其中：本年支出合计506.53万元，结余分配0.00万元，年末结转和结余0.00万元。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增加506.53万元，增长100.00%，主要原因是：本单位2024年为新增单位，上年无数据。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本年收入506.53万元，</w:t>
      </w:r>
      <w:r>
        <w:rPr>
          <w:rFonts w:ascii="仿宋_GB2312" w:hAnsi="仿宋_GB2312" w:eastAsia="仿宋_GB2312"/>
          <w:b w:val="0"/>
          <w:sz w:val="32"/>
        </w:rPr>
        <w:t>其中：财政拨款收入506.53万元，占100.00%；上级补助收入0.00万元，占0.00%；事业收入0.00万元，占0.00%；经营收入0.00万元，占0.00%；附属单位上缴收入0.00万元，占0.00%；其他收入0.00万元，占0.00%。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本年支出506.53万元，</w:t>
      </w:r>
      <w:r>
        <w:rPr>
          <w:rFonts w:ascii="仿宋_GB2312" w:hAnsi="仿宋_GB2312" w:eastAsia="仿宋_GB2312"/>
          <w:b w:val="0"/>
          <w:sz w:val="32"/>
        </w:rPr>
        <w:t>其中：基本支出284.31万元，占56.13%；项目支出222.22万元，占43.87%；上缴上级支出0.00万元，占0.00%；经营支出0.00万元，占0.00%；对附属单位补助支出0.00万元，占0.00%。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2024年度财政拨款收入总计506.53万元，</w:t>
      </w:r>
      <w:r>
        <w:rPr>
          <w:rFonts w:ascii="仿宋_GB2312" w:hAnsi="仿宋_GB2312" w:eastAsia="仿宋_GB2312"/>
          <w:b w:val="0"/>
          <w:sz w:val="32"/>
        </w:rPr>
        <w:t>其中：年初财政拨款结转和结余0.00万元，本年财政拨款收入506.53万元。</w:t>
      </w:r>
      <w:r>
        <w:rPr>
          <w:rFonts w:ascii="仿宋_GB2312" w:hAnsi="仿宋_GB2312" w:eastAsia="仿宋_GB2312"/>
          <w:b/>
          <w:sz w:val="32"/>
        </w:rPr>
        <w:t>财政拨款支出总计506.53万元，</w:t>
      </w:r>
      <w:r>
        <w:rPr>
          <w:rFonts w:ascii="仿宋_GB2312" w:hAnsi="仿宋_GB2312" w:eastAsia="仿宋_GB2312"/>
          <w:b w:val="0"/>
          <w:sz w:val="32"/>
        </w:rPr>
        <w:t>其中：年末财政拨款结转和结余0.00万元，本年财政拨款支出506.53万元。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增加506.53万元，增长100.00%，主要原因是：本单位2024年为新增单位，上年无数据。</w:t>
      </w:r>
      <w:r>
        <w:rPr>
          <w:rFonts w:ascii="仿宋_GB2312" w:hAnsi="仿宋_GB2312" w:eastAsia="仿宋_GB2312"/>
          <w:b/>
          <w:sz w:val="32"/>
        </w:rPr>
        <w:t>与年初预算相比，</w:t>
      </w:r>
      <w:r>
        <w:rPr>
          <w:rFonts w:ascii="仿宋_GB2312" w:hAnsi="仿宋_GB2312" w:eastAsia="仿宋_GB2312"/>
          <w:b w:val="0"/>
          <w:sz w:val="32"/>
        </w:rPr>
        <w:t>年初预算数720.52万元，决算数506.53万元，预决算差异率-29.70%，主要原因是：年初预算中包含ZCGS项目经费，年中未执行，导致预决算存在差异。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2024年度一般公共预算财政拨款支出506.53万元，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增加506.53万元，增长100.00%，主要原因是：本单位2024年为新增单位，上年无数据。</w:t>
      </w:r>
      <w:r>
        <w:rPr>
          <w:rFonts w:ascii="仿宋_GB2312" w:hAnsi="仿宋_GB2312" w:eastAsia="仿宋_GB2312"/>
          <w:b/>
          <w:sz w:val="32"/>
        </w:rPr>
        <w:t>与年初预算相比,</w:t>
      </w:r>
      <w:r>
        <w:rPr>
          <w:rFonts w:ascii="仿宋_GB2312" w:hAnsi="仿宋_GB2312" w:eastAsia="仿宋_GB2312"/>
          <w:b w:val="0"/>
          <w:sz w:val="32"/>
        </w:rPr>
        <w:t>年初预算数720.52万元，决算数506.53万元，预决算差异率-29.70%，主要原因是：年初预算中包含ZCGS项目经费，年中未执行，导致预决算存在差异。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1.一般公共服务支出(类)298.00万元,占58.83%。</w:t>
      </w:r>
    </w:p>
    <w:p>
      <w:pPr>
        <w:spacing w:line="580" w:lineRule="exact"/>
        <w:ind w:firstLine="640"/>
        <w:jc w:val="both"/>
      </w:pPr>
      <w:r>
        <w:rPr>
          <w:rFonts w:ascii="仿宋_GB2312" w:hAnsi="仿宋_GB2312" w:eastAsia="仿宋_GB2312"/>
          <w:b w:val="0"/>
          <w:sz w:val="32"/>
        </w:rPr>
        <w:t>2.社会保障和就业支出(类)31.60万元,占6.24%。</w:t>
      </w:r>
    </w:p>
    <w:p>
      <w:pPr>
        <w:spacing w:line="580" w:lineRule="exact"/>
        <w:ind w:firstLine="640"/>
        <w:jc w:val="both"/>
      </w:pPr>
      <w:r>
        <w:rPr>
          <w:rFonts w:ascii="仿宋_GB2312" w:hAnsi="仿宋_GB2312" w:eastAsia="仿宋_GB2312"/>
          <w:b w:val="0"/>
          <w:sz w:val="32"/>
        </w:rPr>
        <w:t>3.卫生健康支出(类)12.35万元,占2.44%。</w:t>
      </w:r>
    </w:p>
    <w:p>
      <w:pPr>
        <w:spacing w:line="580" w:lineRule="exact"/>
        <w:ind w:firstLine="640"/>
        <w:jc w:val="both"/>
      </w:pPr>
      <w:r>
        <w:rPr>
          <w:rFonts w:ascii="仿宋_GB2312" w:hAnsi="仿宋_GB2312" w:eastAsia="仿宋_GB2312"/>
          <w:b w:val="0"/>
          <w:sz w:val="32"/>
        </w:rPr>
        <w:t>4.农林水支出(类)6.85万元,占1.35%。</w:t>
      </w:r>
    </w:p>
    <w:p>
      <w:pPr>
        <w:spacing w:line="580" w:lineRule="exact"/>
        <w:ind w:firstLine="640"/>
        <w:jc w:val="both"/>
      </w:pPr>
      <w:r>
        <w:rPr>
          <w:rFonts w:ascii="仿宋_GB2312" w:hAnsi="仿宋_GB2312" w:eastAsia="仿宋_GB2312"/>
          <w:b w:val="0"/>
          <w:sz w:val="32"/>
        </w:rPr>
        <w:t>5.商业服务业等支出(类)139.06万元,占27.45%。</w:t>
      </w:r>
    </w:p>
    <w:p>
      <w:pPr>
        <w:spacing w:line="580" w:lineRule="exact"/>
        <w:ind w:firstLine="640"/>
        <w:jc w:val="both"/>
      </w:pPr>
      <w:r>
        <w:rPr>
          <w:rFonts w:ascii="仿宋_GB2312" w:hAnsi="仿宋_GB2312" w:eastAsia="仿宋_GB2312"/>
          <w:b w:val="0"/>
          <w:sz w:val="32"/>
        </w:rPr>
        <w:t>6.住房保障支出(类)18.68万元,占3.69%。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1.一般公共服务支出(类)统战事务(款)行政运行(项):支出决算数为199.09万元，比上年决算增加199.09万元，增长100.00%,主要原因是：本单位2024年为新增单位，上年无数据。</w:t>
      </w:r>
    </w:p>
    <w:p>
      <w:pPr>
        <w:spacing w:line="580" w:lineRule="exact"/>
        <w:ind w:firstLine="640"/>
        <w:jc w:val="both"/>
      </w:pPr>
      <w:r>
        <w:rPr>
          <w:rFonts w:ascii="仿宋_GB2312" w:hAnsi="仿宋_GB2312" w:eastAsia="仿宋_GB2312"/>
          <w:b w:val="0"/>
          <w:sz w:val="32"/>
        </w:rPr>
        <w:t>2.一般公共服务支出(类)统战事务(款)一般行政管理事务(项):支出决算数为83.16万元，比上年决算增加83.16万元，增长100.00%,主要原因是：本单位2024年为新增单位，上年无数据。</w:t>
      </w:r>
    </w:p>
    <w:p>
      <w:pPr>
        <w:spacing w:line="580" w:lineRule="exact"/>
        <w:ind w:firstLine="640"/>
        <w:jc w:val="both"/>
      </w:pPr>
      <w:r>
        <w:rPr>
          <w:rFonts w:ascii="仿宋_GB2312" w:hAnsi="仿宋_GB2312" w:eastAsia="仿宋_GB2312"/>
          <w:b w:val="0"/>
          <w:sz w:val="32"/>
        </w:rPr>
        <w:t>3.一般公共服务支出(类)统战事务(款)宗教事务(项):支出决算数为8.00万元，比上年决算增加8.00万元，增长100.00%,主要原因是：本单位2024年为新增单位，上年无数据。</w:t>
      </w:r>
    </w:p>
    <w:p>
      <w:pPr>
        <w:spacing w:line="580" w:lineRule="exact"/>
        <w:ind w:firstLine="640"/>
        <w:jc w:val="both"/>
      </w:pPr>
      <w:r>
        <w:rPr>
          <w:rFonts w:ascii="仿宋_GB2312" w:hAnsi="仿宋_GB2312" w:eastAsia="仿宋_GB2312"/>
          <w:b w:val="0"/>
          <w:sz w:val="32"/>
        </w:rPr>
        <w:t>4.一般公共服务支出(类)统战事务(款)其他统战事务支出(项):支出决算数为7.75万元，比上年决算增加7.75万元，增长100.00%,主要原因是：本单位2024年为新增单位，上年无数据。</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5.社会保障和就业支出(类)行政事业单位养老支出(款)行政单位离退休(项):支出决算数为7.69万元，比上年决算增加7.69万元，增长100.00%,主要原因是：本单位2024年为新增单位，上年无数据。</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6.社会保障和就业支出(类)行政事业单位养老支出(款)机关事业单位基本养老保险缴费支出(项):支出决算数为23.91万元，比上年决算增加23.91万元，增长100.00%,主要原因是：本单位2024年为新增单位，上年无数据。</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7.卫生健康支出(类)行政事业单位医疗(款)行政单位医疗(项):支出决算数为8.05万元，比上年决算增加8.05万元，增长100.00%,主要原因是：本单位2024年为新增单位，上年无数据。</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8.卫生健康支出(类)行政事业单位医疗(款)事业单位医疗(项):支出决算数为4.06万元，比上年决算增加4.06万元，增长100.00%,主要原因是：本单位2024年为新增单位，上年无数据。</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9.卫生健康支出(类)行政事业单位医疗(款)公务员医疗补助(项):支出决算数为0.23万元，比上年决算增加0.23万元，增长100.00%,主要原因是：本单位2024年为新增单位，上年无数据。</w:t>
      </w:r>
    </w:p>
    <w:p>
      <w:pPr>
        <w:spacing w:line="580" w:lineRule="exact"/>
        <w:ind w:firstLine="640"/>
        <w:jc w:val="both"/>
      </w:pPr>
      <w:r>
        <w:rPr>
          <w:rFonts w:ascii="仿宋_GB2312" w:hAnsi="仿宋_GB2312" w:eastAsia="仿宋_GB2312"/>
          <w:b w:val="0"/>
          <w:sz w:val="32"/>
        </w:rPr>
        <w:t>10.农林水支出(类)巩固脱贫攻坚成果衔接乡村振兴(款)其他巩固脱贫攻坚成果衔接乡村振兴支出(项):支出决算数为6.85万元，比上年决算增加6.85万元，增长100.00%,主要原因是：本单位2024年为新增单位，上年无数据。</w:t>
      </w:r>
    </w:p>
    <w:p>
      <w:pPr>
        <w:spacing w:line="580" w:lineRule="exact"/>
        <w:ind w:firstLine="640"/>
        <w:jc w:val="both"/>
      </w:pPr>
      <w:r>
        <w:rPr>
          <w:rFonts w:ascii="仿宋_GB2312" w:hAnsi="仿宋_GB2312" w:eastAsia="仿宋_GB2312"/>
          <w:b w:val="0"/>
          <w:sz w:val="32"/>
        </w:rPr>
        <w:t>11.商业服务业等支出(类)商业流通事务(款)民贸民品贷款贴息(项):支出决算数为139.06万元，比上年决算增加139.06万元，增长100.00%,主要原因是：本单位2024年为新增单位，上年无数据。</w:t>
      </w:r>
    </w:p>
    <w:p>
      <w:pPr>
        <w:spacing w:line="580" w:lineRule="exact"/>
        <w:ind w:firstLine="640"/>
        <w:jc w:val="both"/>
      </w:pPr>
      <w:r>
        <w:rPr>
          <w:rFonts w:ascii="仿宋_GB2312" w:hAnsi="仿宋_GB2312" w:eastAsia="仿宋_GB2312"/>
          <w:b w:val="0"/>
          <w:sz w:val="32"/>
        </w:rPr>
        <w:t>12.住房保障支出(类)住房改革支出(款)住房公积金(项):支出决算数为18.68万元，比上年决算增加18.68万元，增长100.00%,主要原因是：本单位2024年为新增单位，上年无数据。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2024年度一般公共预算财政拨款基本支出284.31万元，其中：</w:t>
      </w:r>
      <w:r>
        <w:rPr>
          <w:rFonts w:ascii="仿宋_GB2312" w:hAnsi="仿宋_GB2312" w:eastAsia="仿宋_GB2312"/>
          <w:b/>
          <w:sz w:val="32"/>
        </w:rPr>
        <w:t>人员经费263.04万元，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w:t>
      </w:r>
    </w:p>
    <w:p>
      <w:pPr>
        <w:spacing w:line="580" w:lineRule="exact"/>
        <w:ind w:firstLine="640"/>
        <w:jc w:val="both"/>
      </w:pPr>
      <w:r>
        <w:rPr>
          <w:rFonts w:ascii="仿宋_GB2312" w:hAnsi="仿宋_GB2312" w:eastAsia="仿宋_GB2312"/>
          <w:b/>
          <w:sz w:val="32"/>
        </w:rPr>
        <w:t>公用经费21.27万元，</w:t>
      </w:r>
      <w:r>
        <w:rPr>
          <w:rFonts w:ascii="仿宋_GB2312" w:hAnsi="仿宋_GB2312" w:eastAsia="仿宋_GB2312"/>
          <w:b w:val="0"/>
          <w:sz w:val="32"/>
        </w:rPr>
        <w:t>包括：办公费、邮电费、差旅费、维修（护）费、委托业务费、公务用车运行维护费。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2024年度财政拨款“三公”经费支出3.69万元，</w:t>
      </w:r>
      <w:r>
        <w:rPr>
          <w:rFonts w:ascii="仿宋_GB2312" w:hAnsi="仿宋_GB2312" w:eastAsia="仿宋_GB2312"/>
          <w:b w:val="0"/>
          <w:sz w:val="32"/>
        </w:rPr>
        <w:t>比上年增加3.69万元，增长100.00%，主要原因是：本单位2024年为新增单位，上年无数据。</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公务用车购置及运行维护费支出3.69万元，占100.00%，比上年增加3.69万元，增长100.00%，主要原因是：本单位2024年为新增单位，上年无数据。</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3.69万元，其中：公务用车购置费0.00万元，公务用车运行维护费3.69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3.69万元，决算数3.69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3.69万元，决算数3.69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2024年度中共尼勒克县委会员统战部（行政单位和参照公务员法管理事业单位）机关运行经费支出21.27万元，比上年增加21.27万元，增长100.00%，主要原因是：本单位2024年为新增单位，上年无数据。</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5.00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506.53万元，实际执行总额506.53万元；预算绩效评价项目0个，全年预算数0.00万元，全年执行数0.00万元。预算绩效管理取得的成效：本单位无绩效自评项目。发现的问题及原因：本单位无绩效自评项目。下一步改进措施：本单位无绩效自评项目。具体附整体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中共尼勒克县委会员统战部</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717.12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506.53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506.53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88.59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234.76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234.76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625.53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271.77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贯彻落实党中央方针、政策、加强统一战线工作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民族团结联谊活动达到355场次，统战领域干部大轮训达到107人次，民特民贸贴息达到5家，打造县级民族团结示范区、示范单位达到63个。贯彻落实党中央方针政策，加强统一战线工作，积极推动尼勒克县民族团结。</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指标1：民族团结联谊活动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指标2：统战领域干部大轮训</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107人次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指标3：民特民贸贴息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16.67</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指标4：打造县级民族团结示范区、示范单位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根据工作计划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63个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