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仿宋" w:hAnsi="仿宋" w:eastAsia="仿宋" w:cs="宋体"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  <w:lang w:eastAsia="zh-CN"/>
        </w:rPr>
        <w:t>2022年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尼勒克县转移支付执行情况说明</w:t>
      </w:r>
    </w:p>
    <w:p>
      <w:pPr>
        <w:widowControl/>
        <w:spacing w:line="560" w:lineRule="exact"/>
        <w:ind w:firstLine="588" w:firstLineChars="196"/>
        <w:jc w:val="left"/>
        <w:rPr>
          <w:rFonts w:ascii="仿宋" w:hAnsi="仿宋" w:eastAsia="仿宋"/>
          <w:color w:val="000000"/>
          <w:kern w:val="0"/>
          <w:sz w:val="30"/>
          <w:szCs w:val="30"/>
        </w:rPr>
      </w:pPr>
    </w:p>
    <w:p>
      <w:pPr>
        <w:widowControl/>
        <w:ind w:firstLine="588" w:firstLineChars="196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2022年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收到上级财政转移支付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213979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万元，其中：一般公共预算上级补助收入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213153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万元，政府性基金转移性支付补助收入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782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国有资本经营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转移性支付补助收入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44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万元。</w:t>
      </w:r>
    </w:p>
    <w:p>
      <w:pPr>
        <w:widowControl/>
        <w:ind w:firstLine="590" w:firstLineChars="196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0"/>
          <w:szCs w:val="30"/>
        </w:rPr>
        <w:t>1、一般公共预算上级补助收入</w:t>
      </w:r>
    </w:p>
    <w:p>
      <w:pPr>
        <w:widowControl/>
        <w:ind w:firstLine="588" w:firstLineChars="196"/>
        <w:jc w:val="left"/>
        <w:rPr>
          <w:rFonts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一般公共预算上级补助收入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213153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万元，比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年增加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24613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其中：返还性收入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3719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万元，比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减少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545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万元，下降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12.78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%。一般性转移支付收入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184360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元，比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30083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增长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19.5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%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，增加的主要原因：一是支持基层落实减税降费、新出台增值税留抵退税政策和补充县区财力转移支付增加；二是为增强基层“三保”能力，均衡性转移支付、县级基本财力保障机制奖补资金增加。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专项转移支付收入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25074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万元，比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减少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4925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下降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16.42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。</w:t>
      </w:r>
    </w:p>
    <w:p>
      <w:pPr>
        <w:widowControl/>
        <w:ind w:firstLine="588" w:firstLineChars="196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（1）返还性收入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3719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万元（年初全部安排用于预算支出），其中：所得税基数返还213万元、增值税税收返还1109万元、增值税“五五分享”税收返还收入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1035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 xml:space="preserve">万元、其他返还性收入1362万元。 </w:t>
      </w:r>
    </w:p>
    <w:p>
      <w:pPr>
        <w:widowControl/>
        <w:ind w:firstLine="600" w:firstLineChars="200"/>
        <w:jc w:val="left"/>
        <w:rPr>
          <w:rFonts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（2）一般性转移支付收入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184360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其中：体制补助收入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2043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万元、均衡性转移支付收入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21024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万元、县级基本财力保障机制奖补资金收入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19896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万元、结算补助收入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1511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    产粮(油)大县奖励资金收入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2055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万元、重点生态功能区转移支付收入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7664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万元、固定数额补助收入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28648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欠发达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地区转移支付收入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15232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万元、一般公共服务共同财政事权转移支付收入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267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万元、公共安全共同财政事权转移支付收入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1831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万元、教育共同财政事权转移支付收入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10121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万元、科学技术共同财政事权转移支付收入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万元、文化旅游体育与传媒共同财政事权转移支付收入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861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万元、社会保障和就业共同财政事权转移支付收入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10750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万元、医疗卫生共同财政事权转移支付收入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4479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万元、节能环保共同财政事权转移支付收入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989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万元、农林水共同财政事权转移支付收入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32449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万元、交通运输共同财政事权转移支付收入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3856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万元、商业服务业等共同财政事权转移支付收入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461万元、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住房保障共同财政事权转移支付收入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3697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万元、灾害防治及应急管理共同财政事权转移支付收入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万元、增值税留抵退税转移支付收入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2914万元、其他退税减税降费转移支付收入1406万元、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补充县区财力转移支付收入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10114万元、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其他一般性转移支付收入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2051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万元。</w:t>
      </w:r>
    </w:p>
    <w:p>
      <w:pPr>
        <w:widowControl/>
        <w:ind w:firstLine="600" w:firstLineChars="200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一般性转移支付中有规定用途的，按照规定用途拨付，其余的一般性转移支付补助用于补充本级预算支出。</w:t>
      </w:r>
    </w:p>
    <w:p>
      <w:pPr>
        <w:widowControl/>
        <w:ind w:firstLine="600" w:firstLineChars="200"/>
        <w:jc w:val="left"/>
        <w:rPr>
          <w:rFonts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（3）专项转移支付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25074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万元，其中：一般公共服务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30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教育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500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万元、科学技术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社会保障和就业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975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卫生健康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377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节能环保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660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农林水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2189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交通运输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52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资源勘探工业信息等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3404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住房保障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2930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灾害防治及应急管理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484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万元、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其他收入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10471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万元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上级专项转移支付严格按照上级规定的科目及用途拨付到相关单位。</w:t>
      </w:r>
    </w:p>
    <w:p>
      <w:pPr>
        <w:widowControl/>
        <w:ind w:firstLine="602" w:firstLineChars="200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0"/>
          <w:szCs w:val="30"/>
        </w:rPr>
        <w:t>2、政府性基金转移性支付</w:t>
      </w:r>
    </w:p>
    <w:p>
      <w:pPr>
        <w:widowControl/>
        <w:ind w:firstLine="600" w:firstLineChars="200"/>
        <w:jc w:val="left"/>
        <w:rPr>
          <w:rFonts w:hint="eastAsia"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政府性基金转移性支付补助收入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782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万元，比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减少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309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其中：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大中型水库移民后期扶持基金收入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180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万元，彩票公益金收入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602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万元。</w:t>
      </w:r>
    </w:p>
    <w:p>
      <w:pPr>
        <w:widowControl/>
        <w:ind w:firstLine="600" w:firstLineChars="200"/>
        <w:jc w:val="left"/>
        <w:rPr>
          <w:rFonts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上述基金转移支付资金严格按照规定用途专款专用。</w:t>
      </w:r>
    </w:p>
    <w:p>
      <w:pPr>
        <w:widowControl/>
        <w:ind w:firstLine="602" w:firstLineChars="200"/>
        <w:jc w:val="left"/>
        <w:rPr>
          <w:rFonts w:ascii="仿宋" w:hAnsi="仿宋" w:eastAsia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0"/>
          <w:szCs w:val="30"/>
        </w:rPr>
        <w:t>3、国有资本经营预算转移性支付</w:t>
      </w:r>
    </w:p>
    <w:p>
      <w:pPr>
        <w:widowControl/>
        <w:ind w:firstLine="600" w:firstLineChars="200"/>
        <w:jc w:val="left"/>
        <w:rPr>
          <w:rFonts w:hint="eastAsia"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bCs/>
          <w:color w:val="000000"/>
          <w:kern w:val="0"/>
          <w:sz w:val="30"/>
          <w:szCs w:val="30"/>
        </w:rPr>
        <w:t>国有资本经营预算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转移性支付补助收入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44万元元，比 2021 年增加42万元，增长2100%</w:t>
      </w:r>
      <w:bookmarkStart w:id="0" w:name="_GoBack"/>
      <w:bookmarkEnd w:id="0"/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。</w:t>
      </w:r>
      <w:r>
        <w:rPr>
          <w:rFonts w:hint="eastAsia" w:ascii="仿宋" w:hAnsi="仿宋" w:eastAsia="仿宋"/>
          <w:bCs/>
          <w:color w:val="000000"/>
          <w:kern w:val="0"/>
          <w:sz w:val="30"/>
          <w:szCs w:val="30"/>
        </w:rPr>
        <w:t>国有资本经营预算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转移性支付补助收入按照规定用途专款专用。</w:t>
      </w:r>
    </w:p>
    <w:p>
      <w:pPr>
        <w:widowControl/>
        <w:ind w:firstLine="602" w:firstLineChars="200"/>
        <w:jc w:val="left"/>
        <w:rPr>
          <w:rFonts w:hint="eastAsia" w:ascii="仿宋" w:hAnsi="仿宋" w:eastAsia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30"/>
          <w:szCs w:val="30"/>
        </w:rPr>
        <w:t>具体项目明细：</w:t>
      </w:r>
    </w:p>
    <w:tbl>
      <w:tblPr>
        <w:tblStyle w:val="3"/>
        <w:tblW w:w="826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7"/>
        <w:gridCol w:w="26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tblHeader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预算科目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决算数（万元）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213153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一、返还性收入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3,719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所得税基数返还收入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成品油税费改革税收返还收入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增值税税收返还收入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消费税税收返还收入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增值税“五五分享”税收返还收入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其他返还性收入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二、一般性转移支付收入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184,360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体制补助收入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均衡性转移支付收入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21,024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县级基本财力保障机制奖补资金收入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结算补助收入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资源枯竭型城市转移支付补助收入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企业事业单位划转补助收入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产粮(油)大县奖励资金收入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重点生态功能区转移支付收入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7,664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固定数额补助收入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28,648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革命老区转移支付收入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民族地区转移支付收入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边境地区转移支付收入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欠发达地区转移支付收入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一般公共服务共同财政事权转移支付收入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外交共同财政事权转移支付收入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国防共同财政事权转移支付收入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公共安全共同财政事权转移支付收入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教育共同财政事权转移支付收入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10,121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科学技术共同财政事权转移支付收入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文化旅游体育与传媒共同财政事权转移支付收入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社会保障和就业共同财政事权转移支付收入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10,750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医疗卫生共同财政事权转移支付收入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4,479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节能环保共同财政事权转移支付收入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城乡社区共同财政事权转移支付收入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农林水共同财政事权转移支付收入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32,449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交通运输共同财政事权转移支付收入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资源勘探工业信息等共同财政事权转移支付收入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商业服务业等共同财政事权转移支付收入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金融共同财政事权转移支付收入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自然资源海洋气象等共同财政事权转移支付收入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住房保障共同财政事权转移支付收入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粮油物资储备共同财政事权转移支付收入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灾害防治及应急管理共同财政事权转移支付收入 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其他共同财政事权转移支付收入  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增值税留抵退税转移支付收入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其他退税减税降费转移支付收入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补充县区财力转移支付收入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10,114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其他一般性转移支付收入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三、专项转移支付收入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25,074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一般公共服务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外交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国防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公共安全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教育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科学技术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文化旅游体育与传媒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社会保障和就业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卫生健康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节能环保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城乡社区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农林水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交通运输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资源勘探工业信息等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商业服务业等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金融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自然资源海洋气象等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住房保障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2,930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粮油物资储备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灾害防治及应急管理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　其他收入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10,471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政府性基金预算上级补助收入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国有资本经营预算上级补助收入</w:t>
            </w: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RmZDgxNGVhMzM0MDkyZWU3NzFjYTM5NmU3ZjE5MmUifQ=="/>
  </w:docVars>
  <w:rsids>
    <w:rsidRoot w:val="003F74D6"/>
    <w:rsid w:val="00173324"/>
    <w:rsid w:val="001A5D8C"/>
    <w:rsid w:val="00292ECB"/>
    <w:rsid w:val="002B3B83"/>
    <w:rsid w:val="003D5219"/>
    <w:rsid w:val="003F74D6"/>
    <w:rsid w:val="00472354"/>
    <w:rsid w:val="00586155"/>
    <w:rsid w:val="0059445E"/>
    <w:rsid w:val="005C522A"/>
    <w:rsid w:val="006668CB"/>
    <w:rsid w:val="00687E32"/>
    <w:rsid w:val="007B20EA"/>
    <w:rsid w:val="008A3E45"/>
    <w:rsid w:val="008E22C5"/>
    <w:rsid w:val="008E4F83"/>
    <w:rsid w:val="009B13C7"/>
    <w:rsid w:val="00A152CD"/>
    <w:rsid w:val="00AB5991"/>
    <w:rsid w:val="00B06D1F"/>
    <w:rsid w:val="00B108D7"/>
    <w:rsid w:val="00BD6268"/>
    <w:rsid w:val="00C02E6B"/>
    <w:rsid w:val="00C40B9E"/>
    <w:rsid w:val="00CD0534"/>
    <w:rsid w:val="00E8656F"/>
    <w:rsid w:val="00ED5BEF"/>
    <w:rsid w:val="00F71CBE"/>
    <w:rsid w:val="00FE6B63"/>
    <w:rsid w:val="13F60499"/>
    <w:rsid w:val="34613EB9"/>
    <w:rsid w:val="48706953"/>
    <w:rsid w:val="5D6B4793"/>
    <w:rsid w:val="674C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348</Words>
  <Characters>1984</Characters>
  <Lines>16</Lines>
  <Paragraphs>4</Paragraphs>
  <TotalTime>3</TotalTime>
  <ScaleCrop>false</ScaleCrop>
  <LinksUpToDate>false</LinksUpToDate>
  <CharactersWithSpaces>2328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2019-11-14T05:19:00Z</dcterms:created>
  <dc:creator>dreamsummit</dc:creator>
  <cp:lastModifiedBy>Administrator</cp:lastModifiedBy>
  <dcterms:modified xsi:type="dcterms:W3CDTF">2023-08-12T08:43:05Z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34769546422B4ADEA0A5C184E48B5452</vt:lpwstr>
  </property>
</Properties>
</file>