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eastAsia="zh-CN"/>
        </w:rPr>
        <w:t>2021年度尼勒克县预算绩效工作、公开重大政策和重点项目绩效执行结果情况说明</w:t>
      </w:r>
    </w:p>
    <w:p>
      <w:pPr>
        <w:rPr>
          <w:rFonts w:hint="eastAsia"/>
          <w:lang w:eastAsia="zh-CN"/>
        </w:rPr>
      </w:pPr>
    </w:p>
    <w:p>
      <w:pPr>
        <w:keepNext w:val="0"/>
        <w:keepLines w:val="0"/>
        <w:pageBreakBefore w:val="0"/>
        <w:kinsoku/>
        <w:overflowPunct/>
        <w:topLinePunct w:val="0"/>
        <w:autoSpaceDE/>
        <w:autoSpaceDN/>
        <w:bidi w:val="0"/>
        <w:adjustRightInd/>
        <w:spacing w:line="560"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尼勒克县委员会：</w:t>
      </w:r>
      <w:bookmarkStart w:id="0" w:name="_GoBack"/>
      <w:bookmarkEnd w:id="0"/>
    </w:p>
    <w:p>
      <w:pPr>
        <w:keepNext w:val="0"/>
        <w:keepLines w:val="0"/>
        <w:pageBreakBefore w:val="0"/>
        <w:kinsoku/>
        <w:overflowPunct/>
        <w:topLinePunct w:val="0"/>
        <w:autoSpaceDE/>
        <w:autoSpaceDN/>
        <w:bidi w:val="0"/>
        <w:adjustRightInd/>
        <w:spacing w:line="560"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尼勒克县根据《中共中央 国务院关于全面实施预算绩效管理的意见》（中发〔2018〕34号）、《自治区党委自治区人民政府关于全面实施预算绩效管理的实施意见》（新党发〔2018〕30号）的文件要求，落实全面实施预算绩效管理责任，创新预算管理方式，加快建立“全方位、全过程、全覆盖”的预算绩效管理体系，努力实现预算与绩效管理一体化，着力提高财政资源配置效率和使用效益，改变预算资金分配的固化格局，提高预算管理水平和政策实施效果，为县经济社会发展提供了更加有效的财政保障。现将尼勒克县20</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lang w:eastAsia="zh-CN"/>
        </w:rPr>
        <w:t>年全面实施预算绩效管理工作开展情况作以下报告：</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一、高度重视，加强组织领导</w:t>
      </w:r>
    </w:p>
    <w:p>
      <w:pPr>
        <w:keepNext w:val="0"/>
        <w:keepLines w:val="0"/>
        <w:pageBreakBefore w:val="0"/>
        <w:widowControl/>
        <w:kinsoku/>
        <w:wordWrap/>
        <w:overflowPunct/>
        <w:topLinePunct w:val="0"/>
        <w:autoSpaceDE/>
        <w:autoSpaceDN/>
        <w:bidi w:val="0"/>
        <w:adjustRightInd/>
        <w:spacing w:line="560" w:lineRule="exact"/>
        <w:ind w:firstLine="643" w:firstLineChars="200"/>
        <w:textAlignment w:val="auto"/>
        <w:rPr>
          <w:rFonts w:hint="default" w:ascii="仿宋_GB2312" w:eastAsia="仿宋_GB2312" w:hAnsiTheme="minorHAnsi" w:cstheme="minorBidi"/>
          <w:b w:val="0"/>
          <w:color w:val="auto"/>
          <w:kern w:val="2"/>
          <w:sz w:val="32"/>
          <w:szCs w:val="32"/>
          <w:highlight w:val="none"/>
          <w:lang w:val="en" w:eastAsia="zh-CN" w:bidi="ar-SA"/>
        </w:rPr>
      </w:pP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bCs/>
          <w:color w:val="auto"/>
          <w:sz w:val="32"/>
          <w:szCs w:val="32"/>
        </w:rPr>
        <w:t>高度重视</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auto"/>
          <w:sz w:val="32"/>
          <w:szCs w:val="32"/>
          <w:lang w:eastAsia="zh-CN"/>
        </w:rPr>
        <w:t>尼勒克县高度重视预算绩效工作，严格落实党中央、国务院关于全面实施预算绩效管理工作各项决策部署，深入贯彻落实自治区党委、人民政府、自治州党委、人民政府工作和县委、人民政府要求</w:t>
      </w:r>
      <w:r>
        <w:rPr>
          <w:rFonts w:hint="eastAsia" w:ascii="仿宋_GB2312" w:hAnsi="仿宋" w:eastAsia="仿宋_GB2312" w:cs="Times New Roman"/>
          <w:sz w:val="32"/>
          <w:szCs w:val="32"/>
        </w:rPr>
        <w:t>将绩效目标设置作为预算安排的前置条件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全面安排</w:t>
      </w:r>
      <w:r>
        <w:rPr>
          <w:rFonts w:hint="eastAsia" w:ascii="仿宋_GB2312" w:hAnsi="仿宋_GB2312" w:eastAsia="仿宋_GB2312" w:cs="仿宋_GB2312"/>
          <w:color w:val="auto"/>
          <w:sz w:val="32"/>
          <w:szCs w:val="32"/>
        </w:rPr>
        <w:t>财政预算绩效目标、部门整体支出、项目支出绩效管理及绩效</w:t>
      </w:r>
      <w:r>
        <w:rPr>
          <w:rFonts w:hint="eastAsia" w:ascii="仿宋_GB2312" w:hAnsi="仿宋_GB2312" w:eastAsia="仿宋_GB2312" w:cs="仿宋_GB2312"/>
          <w:color w:val="auto"/>
          <w:sz w:val="32"/>
          <w:szCs w:val="32"/>
          <w:lang w:eastAsia="zh-CN"/>
        </w:rPr>
        <w:t>评价</w:t>
      </w:r>
      <w:r>
        <w:rPr>
          <w:rFonts w:hint="eastAsia" w:ascii="仿宋_GB2312" w:hAnsi="仿宋_GB2312" w:eastAsia="仿宋_GB2312" w:cs="仿宋_GB2312"/>
          <w:color w:val="auto"/>
          <w:sz w:val="32"/>
          <w:szCs w:val="32"/>
        </w:rPr>
        <w:t>管理工作。</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bCs/>
          <w:color w:val="auto"/>
          <w:sz w:val="32"/>
          <w:szCs w:val="32"/>
          <w:lang w:val="en-US" w:eastAsia="zh-CN"/>
        </w:rPr>
        <w:t>开展业务培训。</w:t>
      </w:r>
      <w:r>
        <w:rPr>
          <w:rFonts w:hint="eastAsia" w:ascii="仿宋_GB2312" w:hAnsi="仿宋_GB2312" w:eastAsia="仿宋_GB2312" w:cs="仿宋_GB2312"/>
          <w:color w:val="auto"/>
          <w:sz w:val="32"/>
          <w:szCs w:val="32"/>
          <w:lang w:val="en-US" w:eastAsia="zh-CN"/>
        </w:rPr>
        <w:t>由于疫情防控严禁人员聚集，在财政局对财政部门绩效管理工作人员以及项目资金较多的预算单位举办预算绩效管理系统实际操作业务培训，培训内容包括部门单位填报及审核、业务科室审核、绩效中心审核</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lang w:eastAsia="zh-CN"/>
        </w:rPr>
        <w:t>三是第三方专业机构介入。</w:t>
      </w:r>
      <w:r>
        <w:rPr>
          <w:rFonts w:hint="eastAsia" w:ascii="仿宋_GB2312" w:hAnsi="仿宋_GB2312" w:eastAsia="仿宋_GB2312" w:cs="仿宋_GB2312"/>
          <w:color w:val="auto"/>
          <w:sz w:val="32"/>
          <w:szCs w:val="32"/>
          <w:lang w:eastAsia="zh-CN"/>
        </w:rPr>
        <w:t>聘请第三方专业机构全面介入绩效管理工作，指导部门单位开展绩效管理工作，为高质量完成全面实施预算绩效管理工作打下了坚实基础。</w:t>
      </w:r>
      <w:r>
        <w:rPr>
          <w:rFonts w:hint="eastAsia" w:ascii="仿宋_GB2312" w:eastAsia="仿宋_GB2312"/>
          <w:sz w:val="32"/>
          <w:szCs w:val="32"/>
          <w:highlight w:val="none"/>
          <w:lang w:val="en-US" w:eastAsia="zh-CN"/>
        </w:rPr>
        <w:t xml:space="preserve">  </w:t>
      </w:r>
      <w:r>
        <w:rPr>
          <w:rFonts w:hint="default" w:ascii="仿宋_GB2312" w:eastAsia="仿宋_GB2312" w:hAnsiTheme="minorHAnsi" w:cstheme="minorBidi"/>
          <w:b w:val="0"/>
          <w:color w:val="auto"/>
          <w:kern w:val="2"/>
          <w:sz w:val="32"/>
          <w:szCs w:val="32"/>
          <w:highlight w:val="none"/>
          <w:lang w:val="en" w:eastAsia="zh-CN" w:bidi="ar-SA"/>
        </w:rPr>
        <w:t>2021年上半年预算绩效管理工作在</w:t>
      </w:r>
      <w:r>
        <w:rPr>
          <w:rFonts w:hint="eastAsia" w:ascii="仿宋_GB2312" w:eastAsia="仿宋_GB2312" w:hAnsiTheme="minorHAnsi" w:cstheme="minorBidi"/>
          <w:b w:val="0"/>
          <w:color w:val="auto"/>
          <w:kern w:val="2"/>
          <w:sz w:val="32"/>
          <w:szCs w:val="32"/>
          <w:highlight w:val="none"/>
          <w:lang w:val="en" w:eastAsia="zh-CN" w:bidi="ar-SA"/>
        </w:rPr>
        <w:t>全疆</w:t>
      </w:r>
      <w:r>
        <w:rPr>
          <w:rFonts w:hint="default" w:ascii="仿宋_GB2312" w:eastAsia="仿宋_GB2312" w:hAnsiTheme="minorHAnsi" w:cstheme="minorBidi"/>
          <w:b w:val="0"/>
          <w:color w:val="auto"/>
          <w:kern w:val="2"/>
          <w:sz w:val="32"/>
          <w:szCs w:val="32"/>
          <w:highlight w:val="none"/>
          <w:lang w:val="en" w:eastAsia="zh-CN" w:bidi="ar-SA"/>
        </w:rPr>
        <w:t>96个县市排名第42名，伊犁州</w:t>
      </w:r>
      <w:r>
        <w:rPr>
          <w:rFonts w:hint="eastAsia" w:ascii="仿宋_GB2312" w:eastAsia="仿宋_GB2312" w:hAnsiTheme="minorHAnsi" w:cstheme="minorBidi"/>
          <w:b w:val="0"/>
          <w:color w:val="auto"/>
          <w:kern w:val="2"/>
          <w:sz w:val="32"/>
          <w:szCs w:val="32"/>
          <w:highlight w:val="none"/>
          <w:lang w:val="en" w:eastAsia="zh-CN" w:bidi="ar-SA"/>
        </w:rPr>
        <w:t>直</w:t>
      </w:r>
      <w:r>
        <w:rPr>
          <w:rFonts w:hint="default" w:ascii="仿宋_GB2312" w:eastAsia="仿宋_GB2312" w:hAnsiTheme="minorHAnsi" w:cstheme="minorBidi"/>
          <w:b w:val="0"/>
          <w:color w:val="auto"/>
          <w:kern w:val="2"/>
          <w:sz w:val="32"/>
          <w:szCs w:val="32"/>
          <w:highlight w:val="none"/>
          <w:lang w:val="en" w:eastAsia="zh-CN" w:bidi="ar-SA"/>
        </w:rPr>
        <w:t>排名第5名</w:t>
      </w:r>
      <w:r>
        <w:rPr>
          <w:rFonts w:hint="eastAsia" w:ascii="仿宋_GB2312" w:eastAsia="仿宋_GB2312" w:hAnsiTheme="minorHAnsi" w:cstheme="minorBidi"/>
          <w:b w:val="0"/>
          <w:color w:val="auto"/>
          <w:kern w:val="2"/>
          <w:sz w:val="32"/>
          <w:szCs w:val="32"/>
          <w:highlight w:val="none"/>
          <w:lang w:val="en" w:eastAsia="zh-CN" w:bidi="ar-SA"/>
        </w:rPr>
        <w:t>的成立</w:t>
      </w:r>
      <w:r>
        <w:rPr>
          <w:rFonts w:hint="default" w:ascii="仿宋_GB2312" w:eastAsia="仿宋_GB2312" w:hAnsiTheme="minorHAnsi" w:cstheme="minorBidi"/>
          <w:b w:val="0"/>
          <w:color w:val="auto"/>
          <w:kern w:val="2"/>
          <w:sz w:val="32"/>
          <w:szCs w:val="32"/>
          <w:highlight w:val="none"/>
          <w:lang w:val="en" w:eastAsia="zh-CN" w:bidi="ar-SA"/>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二、突出重点，严抓工作落实</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（一）着力教育引导，加强预算绩效管理宣传培训工作。</w:t>
      </w:r>
      <w:r>
        <w:rPr>
          <w:rFonts w:hint="eastAsia" w:ascii="仿宋_GB2312" w:hAnsi="Times New Roman" w:eastAsia="仿宋_GB2312" w:cs="Times New Roman"/>
          <w:kern w:val="2"/>
          <w:sz w:val="32"/>
          <w:szCs w:val="32"/>
          <w:highlight w:val="none"/>
          <w:lang w:val="en-US" w:eastAsia="zh-CN" w:bidi="ar-SA"/>
        </w:rPr>
        <w:t>牢固树立“花钱必问效、无效必问责”的绩效管理观念，围绕“全方位、全过程、全覆盖”要求，通过交流会、公示公开等线上线下联动的方式宣传预算绩效管理文件精神，营造氛围，引导财政体系人员提高思想认识主动迎接预算绩效管理新理念、新标准、新要求。以集中培训为主，结合面对面交流研讨、手把手业务指导等方式，抓好事前绩效评估、绩效目标设置和审核、绩效运行监控、绩效评价、绩效结果运用等事前事中事后各环节具体工作。</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（二）强化系统保障，建立预算绩效管理信息化系统。</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为加快推进全面预算绩效管理各项工作，实现全区上下级间预算绩效信息共享，实施预算绩效管理信息系统上下级互联按照2021年度自治区预算绩效管理“提质增效”的重点工作要求，尼勒克县与签订协议，预算绩效管理信息系统于2021年正式上线运行。同时组织单位全面使用预算绩效管理信息系统，为实现“全方位、全过程、全覆盖”的预算绩效管理信息化系统打下了坚实基础。</w:t>
      </w:r>
    </w:p>
    <w:p>
      <w:pPr>
        <w:keepNext w:val="0"/>
        <w:keepLines w:val="0"/>
        <w:pageBreakBefore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（三）注重求真务实，分类分步推进预算绩效管理具体工作。</w:t>
      </w:r>
      <w:r>
        <w:rPr>
          <w:rFonts w:hint="eastAsia" w:ascii="仿宋_GB2312" w:hAnsi="Times New Roman" w:eastAsia="仿宋_GB2312" w:cs="Times New Roman"/>
          <w:kern w:val="2"/>
          <w:sz w:val="32"/>
          <w:szCs w:val="32"/>
          <w:highlight w:val="none"/>
          <w:lang w:val="en-US" w:eastAsia="zh-CN" w:bidi="ar-SA"/>
        </w:rPr>
        <w:t>聚焦全过程，我县加快构建预算决策、编制、执行、决算和信息公开“五位一体”的预算绩效管理新机制，着力打造事前事中事后有机衔接的预算绩效管理链。</w:t>
      </w:r>
    </w:p>
    <w:p>
      <w:pPr>
        <w:keepNext w:val="0"/>
        <w:keepLines w:val="0"/>
        <w:pageBreakBefore w:val="0"/>
        <w:pBdr>
          <w:bottom w:val="single" w:color="FFFFFF" w:sz="4" w:space="31"/>
        </w:pBdr>
        <w:kinsoku/>
        <w:wordWrap/>
        <w:overflowPunct/>
        <w:topLinePunct w:val="0"/>
        <w:autoSpaceDE/>
        <w:autoSpaceDN/>
        <w:bidi w:val="0"/>
        <w:adjustRightInd/>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b/>
          <w:bCs/>
          <w:color w:val="auto"/>
          <w:sz w:val="32"/>
          <w:szCs w:val="32"/>
          <w:lang w:val="en-US" w:eastAsia="zh-CN"/>
        </w:rPr>
        <w:t>一是在预算决策环节，</w:t>
      </w:r>
      <w:r>
        <w:rPr>
          <w:rFonts w:hint="eastAsia" w:ascii="仿宋_GB2312" w:hAnsi="Times New Roman" w:eastAsia="仿宋_GB2312" w:cs="Times New Roman"/>
          <w:kern w:val="2"/>
          <w:sz w:val="32"/>
          <w:szCs w:val="32"/>
          <w:highlight w:val="none"/>
          <w:lang w:val="en-US" w:eastAsia="zh-CN" w:bidi="ar-SA"/>
        </w:rPr>
        <w:t>建立重大政策和项目事前绩效评估机制，将评估结果作为申请预算的必备条件</w:t>
      </w:r>
      <w:r>
        <w:rPr>
          <w:rFonts w:hint="eastAsia" w:ascii="仿宋_GB2312" w:eastAsia="仿宋_GB2312" w:cs="Times New Roman"/>
          <w:kern w:val="2"/>
          <w:sz w:val="32"/>
          <w:szCs w:val="32"/>
          <w:highlight w:val="none"/>
          <w:lang w:val="en-US" w:eastAsia="zh-CN" w:bidi="ar-SA"/>
        </w:rPr>
        <w:t>,</w:t>
      </w:r>
      <w:r>
        <w:rPr>
          <w:rFonts w:hint="eastAsia" w:ascii="仿宋_GB2312" w:hAnsi="仿宋_GB2312" w:eastAsia="仿宋_GB2312" w:cs="仿宋_GB2312"/>
          <w:sz w:val="32"/>
          <w:szCs w:val="32"/>
          <w:lang w:val="en-US" w:eastAsia="zh-CN"/>
        </w:rPr>
        <w:t>2021年对县财力安排的购置轻型消防车、食品安全抽检、全域旅游投资唐布拉印记部落一期建设等3个新增重大项目990万元进行事前绩效评估并出具事前绩效评估报告</w:t>
      </w:r>
      <w:r>
        <w:rPr>
          <w:rFonts w:hint="eastAsia" w:ascii="仿宋_GB2312" w:hAnsi="仿宋_GB2312" w:eastAsia="仿宋_GB2312" w:cs="仿宋_GB2312"/>
          <w:sz w:val="32"/>
          <w:szCs w:val="32"/>
        </w:rPr>
        <w:t>。</w:t>
      </w:r>
    </w:p>
    <w:p>
      <w:pPr>
        <w:pageBreakBefore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b/>
          <w:bCs/>
          <w:color w:val="auto"/>
          <w:sz w:val="32"/>
          <w:szCs w:val="32"/>
          <w:lang w:val="en-US" w:eastAsia="zh-CN"/>
        </w:rPr>
        <w:t>二是在预算编制环节，</w:t>
      </w:r>
      <w:r>
        <w:rPr>
          <w:rFonts w:hint="eastAsia" w:ascii="仿宋_GB2312" w:hAnsi="Times New Roman" w:eastAsia="仿宋_GB2312" w:cs="Times New Roman"/>
          <w:kern w:val="2"/>
          <w:sz w:val="32"/>
          <w:szCs w:val="32"/>
          <w:highlight w:val="none"/>
          <w:lang w:val="en-US" w:eastAsia="zh-CN" w:bidi="ar-SA"/>
        </w:rPr>
        <w:t>着力强化绩效目标管理，并将绩效目标设置作为预算安排的前置条件，</w:t>
      </w:r>
      <w:r>
        <w:rPr>
          <w:rFonts w:hint="eastAsia" w:ascii="仿宋_GB2312" w:hAnsi="仿宋" w:eastAsia="仿宋_GB2312"/>
          <w:sz w:val="32"/>
          <w:szCs w:val="32"/>
        </w:rPr>
        <w:t>按《</w:t>
      </w:r>
      <w:r>
        <w:rPr>
          <w:rFonts w:hint="eastAsia" w:ascii="仿宋_GB2312" w:hAnsi="仿宋" w:eastAsia="仿宋_GB2312"/>
          <w:sz w:val="32"/>
          <w:szCs w:val="32"/>
          <w:lang w:eastAsia="zh-CN"/>
        </w:rPr>
        <w:t>自治区</w:t>
      </w:r>
      <w:r>
        <w:rPr>
          <w:rFonts w:hint="eastAsia" w:ascii="仿宋_GB2312" w:hAnsi="仿宋" w:eastAsia="仿宋_GB2312"/>
          <w:sz w:val="32"/>
          <w:szCs w:val="32"/>
        </w:rPr>
        <w:t>预算绩效共性项目指标体系》</w:t>
      </w:r>
      <w:r>
        <w:rPr>
          <w:rFonts w:hint="eastAsia" w:ascii="仿宋_GB2312" w:hAnsi="Times New Roman" w:eastAsia="仿宋_GB2312" w:cs="Times New Roman"/>
          <w:kern w:val="2"/>
          <w:sz w:val="32"/>
          <w:szCs w:val="32"/>
          <w:highlight w:val="none"/>
          <w:lang w:val="en-US" w:eastAsia="zh-CN" w:bidi="ar-SA"/>
        </w:rPr>
        <w:t>（新财预</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2020</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73号）</w:t>
      </w:r>
      <w:r>
        <w:rPr>
          <w:rFonts w:hint="eastAsia" w:ascii="仿宋_GB2312" w:hAnsi="仿宋" w:eastAsia="仿宋_GB2312"/>
          <w:sz w:val="32"/>
          <w:szCs w:val="32"/>
        </w:rPr>
        <w:t>要求</w:t>
      </w:r>
      <w:r>
        <w:rPr>
          <w:rFonts w:hint="eastAsia" w:ascii="仿宋_GB2312" w:hAnsi="仿宋" w:eastAsia="仿宋_GB2312"/>
          <w:sz w:val="32"/>
          <w:szCs w:val="32"/>
          <w:lang w:eastAsia="zh-CN"/>
        </w:rPr>
        <w:t>，</w:t>
      </w:r>
      <w:r>
        <w:rPr>
          <w:rFonts w:hint="eastAsia" w:ascii="仿宋_GB2312" w:eastAsia="仿宋_GB2312" w:cs="Times New Roman"/>
          <w:kern w:val="2"/>
          <w:sz w:val="32"/>
          <w:szCs w:val="32"/>
          <w:highlight w:val="none"/>
          <w:lang w:val="en-US" w:eastAsia="zh-CN" w:bidi="ar-SA"/>
        </w:rPr>
        <w:t>对全覆盖</w:t>
      </w:r>
      <w:r>
        <w:rPr>
          <w:rFonts w:hint="eastAsia" w:ascii="仿宋_GB2312" w:eastAsia="仿宋_GB2312" w:hAnsiTheme="minorHAnsi" w:cstheme="minorBidi"/>
          <w:b w:val="0"/>
          <w:color w:val="auto"/>
          <w:kern w:val="2"/>
          <w:sz w:val="32"/>
          <w:szCs w:val="32"/>
          <w:highlight w:val="none"/>
          <w:lang w:val="en-US" w:eastAsia="zh-CN" w:bidi="ar-SA"/>
        </w:rPr>
        <w:t>182个项目，涉及资金127249.81万元</w:t>
      </w:r>
      <w:r>
        <w:rPr>
          <w:rFonts w:hint="eastAsia" w:ascii="仿宋_GB2312" w:hAnsi="Times New Roman" w:eastAsia="仿宋_GB2312" w:cs="Times New Roman"/>
          <w:kern w:val="2"/>
          <w:sz w:val="32"/>
          <w:szCs w:val="32"/>
          <w:highlight w:val="none"/>
          <w:lang w:val="en-US" w:eastAsia="zh-CN" w:bidi="ar-SA"/>
        </w:rPr>
        <w:t>设定绩效目标并通过财政审核后安排预算</w:t>
      </w:r>
      <w:r>
        <w:rPr>
          <w:rFonts w:hint="eastAsia" w:ascii="仿宋_GB2312" w:eastAsia="仿宋_GB2312" w:cs="Times New Roman"/>
          <w:kern w:val="2"/>
          <w:sz w:val="32"/>
          <w:szCs w:val="32"/>
          <w:highlight w:val="none"/>
          <w:lang w:val="en-US" w:eastAsia="zh-CN" w:bidi="ar-SA"/>
        </w:rPr>
        <w:t>和拨付</w:t>
      </w:r>
      <w:r>
        <w:rPr>
          <w:rFonts w:hint="eastAsia" w:ascii="仿宋_GB2312" w:hAnsi="Times New Roman" w:eastAsia="仿宋_GB2312" w:cs="Times New Roman"/>
          <w:kern w:val="2"/>
          <w:sz w:val="32"/>
          <w:szCs w:val="32"/>
          <w:highlight w:val="none"/>
          <w:lang w:val="en-US" w:eastAsia="zh-CN" w:bidi="ar-SA"/>
        </w:rPr>
        <w:t>。全县133个部门单位</w:t>
      </w:r>
      <w:r>
        <w:rPr>
          <w:rFonts w:hint="eastAsia" w:ascii="仿宋_GB2312" w:hAnsi="仿宋_GB2312" w:eastAsia="仿宋_GB2312" w:cs="仿宋_GB2312"/>
          <w:sz w:val="32"/>
          <w:szCs w:val="32"/>
          <w:lang w:val="en-US" w:eastAsia="zh-CN"/>
        </w:rPr>
        <w:t>136077.87</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w:t>
      </w:r>
      <w:r>
        <w:rPr>
          <w:rFonts w:hint="eastAsia" w:ascii="仿宋_GB2312" w:hAnsi="Times New Roman" w:eastAsia="仿宋_GB2312" w:cs="Times New Roman"/>
          <w:kern w:val="2"/>
          <w:sz w:val="32"/>
          <w:szCs w:val="32"/>
          <w:highlight w:val="none"/>
          <w:lang w:val="en-US" w:eastAsia="zh-CN" w:bidi="ar-SA"/>
        </w:rPr>
        <w:t>按照本部门单位承担职责、行业发展规划，从运行成本、管理效率、履职效能、社会效应、可持续发展能力和服务对象满意度等方面，设置本部门绩效目标表。</w:t>
      </w:r>
    </w:p>
    <w:p>
      <w:pPr>
        <w:pageBreakBefore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b/>
          <w:bCs/>
          <w:color w:val="auto"/>
          <w:sz w:val="32"/>
          <w:szCs w:val="32"/>
          <w:lang w:val="en-US" w:eastAsia="zh-CN"/>
        </w:rPr>
        <w:t>三是在预算执行环节，</w:t>
      </w:r>
      <w:r>
        <w:rPr>
          <w:rFonts w:hint="eastAsia" w:ascii="仿宋_GB2312" w:hAnsi="Times New Roman" w:eastAsia="仿宋_GB2312" w:cs="Times New Roman"/>
          <w:kern w:val="2"/>
          <w:sz w:val="32"/>
          <w:szCs w:val="32"/>
          <w:highlight w:val="none"/>
          <w:lang w:val="en-US" w:eastAsia="zh-CN" w:bidi="ar-SA"/>
        </w:rPr>
        <w:t>对绩效目标实现程度和预算执行进度实行“双监控”。根据《尼勒克县预算绩效监控管理暂行办法》的要求，将所有政策和项目都纳入绩效监控，在监控中发现的绩效目标运行偏离大于20%的问题，及时督促相关单位进行纠正，确保绩效目标如期保质保量实现。全县133个部门单位整体绩效纳入监控，填报部门单位整体支出绩效监控情况表，撰写部门单位整体支出绩效监控报告，对出现较大偏差的绩效监控结果，提出整改意见并督促整改落实。</w:t>
      </w:r>
    </w:p>
    <w:p>
      <w:pPr>
        <w:pageBreakBefore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b/>
          <w:bCs/>
          <w:color w:val="auto"/>
          <w:sz w:val="32"/>
          <w:szCs w:val="32"/>
          <w:lang w:val="en-US" w:eastAsia="zh-CN"/>
        </w:rPr>
        <w:t>四是在决算环节，</w:t>
      </w:r>
      <w:r>
        <w:rPr>
          <w:rFonts w:hint="eastAsia" w:ascii="仿宋_GB2312" w:hAnsi="Times New Roman" w:eastAsia="仿宋_GB2312" w:cs="Times New Roman"/>
          <w:kern w:val="2"/>
          <w:sz w:val="32"/>
          <w:szCs w:val="32"/>
          <w:highlight w:val="none"/>
          <w:lang w:val="en-US" w:eastAsia="zh-CN" w:bidi="ar-SA"/>
        </w:rPr>
        <w:t>建立部门自评与外部评价相结合的多层次绩效评价体系。根据《尼勒克县财政支出绩效评价管理暂行办法》组织各部门单位对</w:t>
      </w:r>
      <w:r>
        <w:rPr>
          <w:rFonts w:hint="eastAsia" w:ascii="仿宋_GB2312" w:hAnsi="Times New Roman" w:eastAsia="仿宋_GB2312" w:cs="Times New Roman"/>
          <w:color w:val="auto"/>
          <w:kern w:val="2"/>
          <w:sz w:val="32"/>
          <w:szCs w:val="32"/>
          <w:highlight w:val="none"/>
          <w:lang w:val="en-US" w:eastAsia="zh-CN" w:bidi="ar-SA"/>
        </w:rPr>
        <w:t>20</w:t>
      </w:r>
      <w:r>
        <w:rPr>
          <w:rFonts w:hint="eastAsia" w:ascii="仿宋_GB2312" w:eastAsia="仿宋_GB2312" w:cs="Times New Roman"/>
          <w:color w:val="auto"/>
          <w:kern w:val="2"/>
          <w:sz w:val="32"/>
          <w:szCs w:val="32"/>
          <w:highlight w:val="none"/>
          <w:lang w:val="en-US" w:eastAsia="zh-CN" w:bidi="ar-SA"/>
        </w:rPr>
        <w:t>20</w:t>
      </w:r>
      <w:r>
        <w:rPr>
          <w:rFonts w:hint="eastAsia" w:ascii="仿宋_GB2312" w:hAnsi="Times New Roman" w:eastAsia="仿宋_GB2312" w:cs="Times New Roman"/>
          <w:color w:val="auto"/>
          <w:kern w:val="2"/>
          <w:sz w:val="32"/>
          <w:szCs w:val="32"/>
          <w:highlight w:val="none"/>
          <w:lang w:val="en-US" w:eastAsia="zh-CN" w:bidi="ar-SA"/>
        </w:rPr>
        <w:t>年</w:t>
      </w:r>
      <w:r>
        <w:rPr>
          <w:rFonts w:hint="eastAsia" w:ascii="仿宋_GB2312" w:eastAsia="仿宋_GB2312" w:cs="Times New Roman"/>
          <w:color w:val="auto"/>
          <w:kern w:val="2"/>
          <w:sz w:val="32"/>
          <w:szCs w:val="32"/>
          <w:highlight w:val="none"/>
          <w:lang w:val="en-US" w:eastAsia="zh-CN" w:bidi="ar-SA"/>
        </w:rPr>
        <w:t>117</w:t>
      </w:r>
      <w:r>
        <w:rPr>
          <w:rFonts w:hint="eastAsia" w:ascii="仿宋_GB2312" w:hAnsi="Times New Roman" w:eastAsia="仿宋_GB2312" w:cs="Times New Roman"/>
          <w:color w:val="auto"/>
          <w:kern w:val="2"/>
          <w:sz w:val="32"/>
          <w:szCs w:val="32"/>
          <w:highlight w:val="none"/>
          <w:lang w:val="en-US" w:eastAsia="zh-CN" w:bidi="ar-SA"/>
        </w:rPr>
        <w:t>个项目</w:t>
      </w:r>
      <w:r>
        <w:rPr>
          <w:rFonts w:hint="eastAsia" w:ascii="仿宋_GB2312" w:hAnsi="仿宋_GB2312" w:eastAsia="仿宋_GB2312" w:cs="仿宋_GB2312"/>
          <w:sz w:val="32"/>
          <w:szCs w:val="32"/>
          <w:lang w:val="en-US" w:eastAsia="zh-CN"/>
        </w:rPr>
        <w:t>97058万元</w:t>
      </w:r>
      <w:r>
        <w:rPr>
          <w:rFonts w:hint="eastAsia" w:ascii="仿宋_GB2312" w:hAnsi="Times New Roman" w:eastAsia="仿宋_GB2312" w:cs="Times New Roman"/>
          <w:kern w:val="2"/>
          <w:sz w:val="32"/>
          <w:szCs w:val="32"/>
          <w:highlight w:val="none"/>
          <w:lang w:val="en-US" w:eastAsia="zh-CN" w:bidi="ar-SA"/>
        </w:rPr>
        <w:t>及</w:t>
      </w:r>
      <w:r>
        <w:rPr>
          <w:rFonts w:hint="eastAsia" w:ascii="仿宋_GB2312" w:eastAsia="仿宋_GB2312" w:cs="Times New Roman"/>
          <w:kern w:val="2"/>
          <w:sz w:val="32"/>
          <w:szCs w:val="32"/>
          <w:highlight w:val="none"/>
          <w:lang w:val="en-US" w:eastAsia="zh-CN" w:bidi="ar-SA"/>
        </w:rPr>
        <w:t>133个</w:t>
      </w:r>
      <w:r>
        <w:rPr>
          <w:rFonts w:hint="eastAsia" w:ascii="仿宋_GB2312" w:hAnsi="Times New Roman" w:eastAsia="仿宋_GB2312" w:cs="Times New Roman"/>
          <w:kern w:val="2"/>
          <w:sz w:val="32"/>
          <w:szCs w:val="32"/>
          <w:highlight w:val="none"/>
          <w:lang w:val="en-US" w:eastAsia="zh-CN" w:bidi="ar-SA"/>
        </w:rPr>
        <w:t>部门单位</w:t>
      </w:r>
      <w:r>
        <w:rPr>
          <w:rFonts w:hint="eastAsia" w:ascii="仿宋_GB2312" w:eastAsia="仿宋_GB2312" w:cs="Times New Roman"/>
          <w:kern w:val="2"/>
          <w:sz w:val="32"/>
          <w:szCs w:val="32"/>
          <w:highlight w:val="none"/>
          <w:lang w:val="en-US" w:eastAsia="zh-CN" w:bidi="ar-SA"/>
        </w:rPr>
        <w:t>涉及金额</w:t>
      </w:r>
      <w:r>
        <w:rPr>
          <w:rFonts w:hint="eastAsia" w:ascii="仿宋_GB2312" w:hAnsi="仿宋_GB2312" w:eastAsia="仿宋_GB2312" w:cs="仿宋_GB2312"/>
          <w:sz w:val="32"/>
          <w:szCs w:val="32"/>
          <w:lang w:val="en-US" w:eastAsia="zh-CN"/>
        </w:rPr>
        <w:t>324080.62万元</w:t>
      </w:r>
      <w:r>
        <w:rPr>
          <w:rFonts w:hint="eastAsia" w:ascii="仿宋_GB2312" w:hAnsi="Times New Roman" w:eastAsia="仿宋_GB2312" w:cs="Times New Roman"/>
          <w:kern w:val="2"/>
          <w:sz w:val="32"/>
          <w:szCs w:val="32"/>
          <w:highlight w:val="none"/>
          <w:lang w:val="en-US" w:eastAsia="zh-CN" w:bidi="ar-SA"/>
        </w:rPr>
        <w:t>开展整体支出绩效自评工作，从预算执行情况，以及政策、项目实施效果等方面进行了自评。聘请第三方机构对2020年城乡道路抗洪保交通</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南疆建档立卡贫困劳动力转移就业岗位工资</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中小微企业个体工商户房屋租金补助</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脱贫攻坚普查经费</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购买中药配方颗粒剂等5个重点项目766.53万元进行了第三方项目绩效评价。</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b/>
          <w:bCs/>
          <w:color w:val="auto"/>
          <w:sz w:val="32"/>
          <w:szCs w:val="32"/>
          <w:lang w:val="en-US" w:eastAsia="zh-CN"/>
        </w:rPr>
        <w:t>五是在信息公开环节，</w:t>
      </w:r>
      <w:r>
        <w:rPr>
          <w:rFonts w:hint="eastAsia" w:ascii="仿宋_GB2312" w:hAnsi="Times New Roman" w:eastAsia="仿宋_GB2312" w:cs="Times New Roman"/>
          <w:kern w:val="2"/>
          <w:sz w:val="32"/>
          <w:szCs w:val="32"/>
          <w:highlight w:val="none"/>
          <w:lang w:val="en-US" w:eastAsia="zh-CN" w:bidi="ar-SA"/>
        </w:rPr>
        <w:t>加大绩效信息公开力度。对202</w:t>
      </w:r>
      <w:r>
        <w:rPr>
          <w:rFonts w:hint="eastAsia" w:ascii="仿宋_GB2312" w:eastAsia="仿宋_GB2312" w:cs="Times New Roman"/>
          <w:kern w:val="2"/>
          <w:sz w:val="32"/>
          <w:szCs w:val="32"/>
          <w:highlight w:val="none"/>
          <w:lang w:val="en-US" w:eastAsia="zh-CN" w:bidi="ar-SA"/>
        </w:rPr>
        <w:t>1</w:t>
      </w:r>
      <w:r>
        <w:rPr>
          <w:rFonts w:hint="eastAsia" w:ascii="仿宋_GB2312" w:hAnsi="Times New Roman" w:eastAsia="仿宋_GB2312" w:cs="Times New Roman"/>
          <w:kern w:val="2"/>
          <w:sz w:val="32"/>
          <w:szCs w:val="32"/>
          <w:highlight w:val="none"/>
          <w:lang w:val="en-US" w:eastAsia="zh-CN" w:bidi="ar-SA"/>
        </w:rPr>
        <w:t>年重大政策</w:t>
      </w:r>
      <w:r>
        <w:rPr>
          <w:rFonts w:hint="eastAsia" w:ascii="仿宋_GB2312" w:eastAsia="仿宋_GB2312" w:cs="Times New Roman"/>
          <w:kern w:val="2"/>
          <w:sz w:val="32"/>
          <w:szCs w:val="32"/>
          <w:highlight w:val="none"/>
          <w:lang w:val="en-US" w:eastAsia="zh-CN" w:bidi="ar-SA"/>
        </w:rPr>
        <w:t>、直达资金、扶贫资金等项目支出</w:t>
      </w:r>
      <w:r>
        <w:rPr>
          <w:rFonts w:hint="eastAsia" w:ascii="仿宋_GB2312" w:hAnsi="Times New Roman" w:eastAsia="仿宋_GB2312" w:cs="Times New Roman"/>
          <w:kern w:val="2"/>
          <w:sz w:val="32"/>
          <w:szCs w:val="32"/>
          <w:highlight w:val="none"/>
          <w:lang w:val="en-US" w:eastAsia="zh-CN" w:bidi="ar-SA"/>
        </w:rPr>
        <w:t>绩效目标</w:t>
      </w:r>
      <w:r>
        <w:rPr>
          <w:rFonts w:hint="eastAsia" w:ascii="仿宋_GB2312" w:eastAsia="仿宋_GB2312" w:cs="Times New Roman"/>
          <w:kern w:val="2"/>
          <w:sz w:val="32"/>
          <w:szCs w:val="32"/>
          <w:highlight w:val="none"/>
          <w:lang w:val="en-US" w:eastAsia="zh-CN" w:bidi="ar-SA"/>
        </w:rPr>
        <w:t>和整体支出绩效目标在</w:t>
      </w:r>
      <w:r>
        <w:rPr>
          <w:rFonts w:hint="eastAsia" w:ascii="仿宋_GB2312" w:hAnsi="Times New Roman" w:eastAsia="仿宋_GB2312" w:cs="Times New Roman"/>
          <w:kern w:val="2"/>
          <w:sz w:val="32"/>
          <w:szCs w:val="32"/>
          <w:highlight w:val="none"/>
          <w:lang w:val="en-US" w:eastAsia="zh-CN" w:bidi="ar-SA"/>
        </w:rPr>
        <w:t>在尼勒克县人民政府网站向社会公开</w:t>
      </w:r>
      <w:r>
        <w:rPr>
          <w:rFonts w:hint="eastAsia" w:ascii="仿宋_GB2312" w:eastAsia="仿宋_GB2312" w:cs="Times New Roman"/>
          <w:kern w:val="2"/>
          <w:sz w:val="32"/>
          <w:szCs w:val="32"/>
          <w:highlight w:val="none"/>
          <w:lang w:val="en-US" w:eastAsia="zh-CN" w:bidi="ar-SA"/>
        </w:rPr>
        <w:t>，且</w:t>
      </w:r>
      <w:r>
        <w:rPr>
          <w:rFonts w:hint="eastAsia" w:ascii="仿宋_GB2312" w:hAnsi="仿宋" w:eastAsia="仿宋_GB2312"/>
          <w:sz w:val="32"/>
          <w:szCs w:val="32"/>
        </w:rPr>
        <w:t>2020年度绩效自评表、评价报告，随部门决算公开同步公开</w:t>
      </w:r>
      <w:r>
        <w:rPr>
          <w:rFonts w:hint="eastAsia" w:ascii="仿宋_GB2312" w:hAnsi="Times New Roman" w:eastAsia="仿宋_GB2312" w:cs="Times New Roman"/>
          <w:kern w:val="2"/>
          <w:sz w:val="32"/>
          <w:szCs w:val="32"/>
          <w:highlight w:val="none"/>
          <w:lang w:val="en-US" w:eastAsia="zh-CN" w:bidi="ar-SA"/>
        </w:rPr>
        <w:t>并绩效评价结果上报给党委、人大、政府。</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三、存在的问题</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仿宋_GB2312" w:hAnsi="仿宋" w:eastAsia="仿宋_GB2312" w:cstheme="minorBidi"/>
          <w:b/>
          <w:bCs/>
          <w:color w:val="000000"/>
          <w:sz w:val="32"/>
          <w:szCs w:val="32"/>
          <w:lang w:val="en-US" w:eastAsia="zh-CN"/>
        </w:rPr>
        <w:t>（一）理念树立不牢。</w:t>
      </w:r>
      <w:r>
        <w:rPr>
          <w:rFonts w:hint="eastAsia" w:ascii="仿宋_GB2312" w:hAnsi="仿宋" w:eastAsia="仿宋_GB2312" w:cstheme="minorBidi"/>
          <w:color w:val="000000"/>
          <w:sz w:val="32"/>
          <w:szCs w:val="32"/>
          <w:lang w:val="en-US" w:eastAsia="zh-CN"/>
        </w:rPr>
        <w:t>预算绩效管理的新理念没有深入人心，各部门单位工作人</w:t>
      </w:r>
      <w:r>
        <w:rPr>
          <w:rFonts w:hint="eastAsia" w:ascii="仿宋_GB2312" w:hAnsi="Times New Roman" w:eastAsia="仿宋_GB2312" w:cs="Times New Roman"/>
          <w:kern w:val="2"/>
          <w:sz w:val="32"/>
          <w:szCs w:val="32"/>
          <w:highlight w:val="none"/>
          <w:lang w:val="en-US" w:eastAsia="zh-CN" w:bidi="ar-SA"/>
        </w:rPr>
        <w:t>员、项目负责人习惯于按部就班，习惯用老观念、老思路、老方法开展工作，解放思想、主动接纳新事物的主观认识</w:t>
      </w:r>
      <w:r>
        <w:rPr>
          <w:rFonts w:hint="eastAsia" w:ascii="仿宋_GB2312" w:hAnsi="仿宋" w:eastAsia="仿宋_GB2312" w:cstheme="minorBidi"/>
          <w:color w:val="000000"/>
          <w:sz w:val="32"/>
          <w:szCs w:val="32"/>
          <w:lang w:val="en-US" w:eastAsia="zh-CN"/>
        </w:rPr>
        <w:t>水平</w:t>
      </w:r>
      <w:r>
        <w:rPr>
          <w:rFonts w:hint="eastAsia" w:ascii="仿宋_GB2312" w:hAnsi="Times New Roman" w:eastAsia="仿宋_GB2312" w:cs="Times New Roman"/>
          <w:kern w:val="2"/>
          <w:sz w:val="32"/>
          <w:szCs w:val="32"/>
          <w:highlight w:val="none"/>
          <w:lang w:val="en-US" w:eastAsia="zh-CN" w:bidi="ar-SA"/>
        </w:rPr>
        <w:t>普遍较低，“要我做绩效”的心理心态普遍存在，主动担当、主动作为的工作人员较少，各部门单位</w:t>
      </w:r>
      <w:r>
        <w:rPr>
          <w:rFonts w:hint="eastAsia" w:ascii="仿宋_GB2312" w:hAnsi="仿宋" w:eastAsia="仿宋_GB2312" w:cstheme="minorBidi"/>
          <w:color w:val="000000"/>
          <w:sz w:val="32"/>
          <w:szCs w:val="32"/>
          <w:lang w:val="en-US" w:eastAsia="zh-CN"/>
        </w:rPr>
        <w:t>不同程度存在站位不高、认识不到位、畏惧困难、害怕复杂的现象。</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仿宋_GB2312" w:hAnsi="仿宋" w:eastAsia="仿宋_GB2312" w:cstheme="minorBidi"/>
          <w:b/>
          <w:bCs/>
          <w:color w:val="000000"/>
          <w:sz w:val="32"/>
          <w:szCs w:val="32"/>
          <w:lang w:val="en-US" w:eastAsia="zh-CN"/>
        </w:rPr>
        <w:t>（二）专业人才紧缺。</w:t>
      </w:r>
      <w:r>
        <w:rPr>
          <w:rFonts w:hint="eastAsia" w:ascii="仿宋_GB2312" w:hAnsi="仿宋" w:eastAsia="仿宋_GB2312" w:cstheme="minorBidi"/>
          <w:color w:val="000000"/>
          <w:sz w:val="32"/>
          <w:szCs w:val="32"/>
          <w:lang w:val="en-US" w:eastAsia="zh-CN"/>
        </w:rPr>
        <w:t>预算绩效管理专业性、系统性较强，需要做好事前绩效评估、绩效目标的设置、绩效的运行监控与评价、结果应用等各种环节各种细节工作，并且涉及大量基础数据和多个领域的专业知识，从业人员需具备丰富的知识储备和过硬的业务技能。我县共133个预算单位（部门单位和各乡镇场），信息量大、工作量大，多数预算单位由单位会计人员兼顾此项工作，专业人才紧缺现象比较严重。</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(三)单位重视度不够。</w:t>
      </w:r>
      <w:r>
        <w:rPr>
          <w:rFonts w:hint="eastAsia" w:ascii="仿宋_GB2312" w:hAnsi="仿宋" w:eastAsia="仿宋_GB2312" w:cstheme="minorBidi"/>
          <w:b/>
          <w:bCs/>
          <w:color w:val="000000"/>
          <w:sz w:val="32"/>
          <w:szCs w:val="32"/>
          <w:lang w:val="en-US" w:eastAsia="zh-CN"/>
        </w:rPr>
        <w:t>一是部分单位领导认识不到位。</w:t>
      </w:r>
      <w:r>
        <w:rPr>
          <w:rFonts w:hint="eastAsia" w:ascii="仿宋_GB2312" w:hAnsi="仿宋" w:eastAsia="仿宋_GB2312" w:cstheme="minorBidi"/>
          <w:color w:val="000000"/>
          <w:sz w:val="32"/>
          <w:szCs w:val="32"/>
          <w:lang w:val="en-US" w:eastAsia="zh-CN"/>
        </w:rPr>
        <w:t>预算绩效管理工作涉及项目、资金等各方面工作，部分预算单位领导，简单地将绩效目标制定、跟踪监控等专业性工作归口于财务人员，财务人员只了解资金拨付情况，不了解项目指标完成情况，导致业务管理与绩效管理脱节，弱化了实施预算绩效管理的最基本环节。</w:t>
      </w:r>
      <w:r>
        <w:rPr>
          <w:rFonts w:hint="eastAsia" w:ascii="仿宋_GB2312" w:hAnsi="仿宋" w:eastAsia="仿宋_GB2312" w:cstheme="minorBidi"/>
          <w:b/>
          <w:bCs/>
          <w:color w:val="000000"/>
          <w:sz w:val="32"/>
          <w:szCs w:val="32"/>
          <w:lang w:val="en-US" w:eastAsia="zh-CN"/>
        </w:rPr>
        <w:t>二是对信息化工作不重视。</w:t>
      </w:r>
      <w:r>
        <w:rPr>
          <w:rFonts w:hint="eastAsia" w:ascii="仿宋_GB2312" w:hAnsi="仿宋" w:eastAsia="仿宋_GB2312" w:cstheme="minorBidi"/>
          <w:color w:val="000000"/>
          <w:sz w:val="32"/>
          <w:szCs w:val="32"/>
          <w:lang w:val="en-US" w:eastAsia="zh-CN"/>
        </w:rPr>
        <w:t>各预算单位对全面实施预算绩效管理信息系统使用认识不到位，重视程度不够，导致预算绩效管理信息系统使用推进困难、进展情况较慢，对绩效管理系统业务不熟悉，对预算绩效工作职责分工不明确，录入的绩效目标表和报告质量很不理想。</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仿宋_GB2312" w:hAnsi="仿宋" w:eastAsia="仿宋_GB2312" w:cstheme="minorBidi"/>
          <w:b/>
          <w:bCs/>
          <w:color w:val="000000"/>
          <w:sz w:val="32"/>
          <w:szCs w:val="32"/>
          <w:lang w:val="en-US" w:eastAsia="zh-CN"/>
        </w:rPr>
        <w:t>（四）绩效管理不到位。</w:t>
      </w:r>
      <w:r>
        <w:rPr>
          <w:rFonts w:hint="eastAsia" w:ascii="仿宋_GB2312" w:hAnsi="仿宋" w:eastAsia="仿宋_GB2312" w:cstheme="minorBidi"/>
          <w:color w:val="000000"/>
          <w:sz w:val="32"/>
          <w:szCs w:val="32"/>
          <w:lang w:val="en-US" w:eastAsia="zh-CN"/>
        </w:rPr>
        <w:t xml:space="preserve">首先对预算单位绩效评价审核不严，预算单位绩效目标存在填报内容不规范、不完整，个性指标设置不够细化、项目资金执行率较低。其次是绩效评价指标体系还不完善，评价指标设定的科学性有待加强。   </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四、下一步打算</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（一）加强组织管理，确保绩效理念深入化。</w:t>
      </w:r>
      <w:r>
        <w:rPr>
          <w:rFonts w:hint="eastAsia" w:ascii="仿宋_GB2312" w:hAnsi="仿宋" w:eastAsia="仿宋_GB2312" w:cstheme="minorBidi"/>
          <w:color w:val="000000"/>
          <w:sz w:val="32"/>
          <w:szCs w:val="32"/>
          <w:lang w:val="en-US" w:eastAsia="zh-CN"/>
        </w:rPr>
        <w:t>加快健全财政部门牵头组织，主管部门和有关单位具体实施，人大和审计机关依法监督的预算绩效管理工作推进机制，以机制推进绩效理念深入人心，营造浓厚绩效管理氛围，推进各部门各单位“要我做绩效”的观念转变为“我要做绩效”。规范资金审批流程，将事前绩效评估和绩效目标表纳入资金审批流程，对年中追加的除人员以外的所有资金申请报告都要求有事前绩效评估和绩效目标表，并通过财政部门审核后，才予以拨付资金。</w:t>
      </w:r>
    </w:p>
    <w:p>
      <w:pPr>
        <w:keepNext w:val="0"/>
        <w:keepLines w:val="0"/>
        <w:pageBreakBefore w:val="0"/>
        <w:widowControl w:val="0"/>
        <w:pBdr>
          <w:bottom w:val="single" w:color="FFFFFF" w:sz="4" w:space="31"/>
        </w:pBdr>
        <w:kinsoku/>
        <w:wordWrap/>
        <w:overflowPunct/>
        <w:topLinePunct w:val="0"/>
        <w:autoSpaceDE/>
        <w:autoSpaceDN/>
        <w:bidi w:val="0"/>
        <w:adjustRightInd/>
        <w:spacing w:line="560" w:lineRule="exact"/>
        <w:ind w:firstLine="643" w:firstLineChars="200"/>
        <w:textAlignment w:val="top"/>
        <w:rPr>
          <w:rFonts w:hint="eastAsia" w:ascii="仿宋_GB2312" w:hAnsi="仿宋" w:eastAsia="仿宋_GB2312" w:cstheme="minorBidi"/>
          <w:color w:val="000000"/>
          <w:sz w:val="32"/>
          <w:szCs w:val="32"/>
          <w:lang w:val="en-US" w:eastAsia="zh-CN"/>
        </w:rPr>
      </w:pPr>
      <w:r>
        <w:rPr>
          <w:rFonts w:hint="eastAsia" w:ascii="楷体_GB2312" w:hAnsi="楷体_GB2312" w:eastAsia="楷体_GB2312" w:cs="楷体_GB2312"/>
          <w:b/>
          <w:bCs/>
          <w:color w:val="000000"/>
          <w:sz w:val="32"/>
          <w:szCs w:val="32"/>
          <w:lang w:val="en-US" w:eastAsia="zh-CN"/>
        </w:rPr>
        <w:t>（二）强化学习提高，确保绩效业务高效化。</w:t>
      </w:r>
      <w:r>
        <w:rPr>
          <w:rFonts w:hint="eastAsia" w:ascii="仿宋_GB2312" w:hAnsi="仿宋" w:eastAsia="仿宋_GB2312" w:cstheme="minorBidi"/>
          <w:color w:val="000000"/>
          <w:sz w:val="32"/>
          <w:szCs w:val="32"/>
          <w:lang w:val="en-US" w:eastAsia="zh-CN"/>
        </w:rPr>
        <w:t xml:space="preserve">一是积极协调各部门单位参加自治区、自治州组织开展的学习培训，不断积累预算绩效管理业务知识和业务技能；二是协调督促各部门单位建立健全查找自身问题和短板的检视机制，统筹引导各部门单位通过自学、与上级或兄弟单位交流学习相结合的方式补齐短板，并及时纠正查找出来的问题和不足；三是进一步完善本县学习培训机制，制定预算绩效管理学习培训计划，做好预算绩效管理信息系统的学习、培训工作，不断提升各单位财务人员预算绩效管理信息系统运用水平；四是强化激励和业务指导机制，采用评优评先等方式激励优秀干部职工，同时更多地带动和组织业务熟练的干部到其他预算部门单位面对面、手把手指导工作，以点带面，推动县预算绩效管理体系工作队伍业务能力水平的整体提升。   </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（三）厘清责任主体，确保绩效职责明确化。</w:t>
      </w:r>
      <w:r>
        <w:rPr>
          <w:rFonts w:hint="eastAsia" w:ascii="仿宋_GB2312" w:hAnsi="仿宋" w:eastAsia="仿宋_GB2312" w:cstheme="minorBidi"/>
          <w:color w:val="000000"/>
          <w:sz w:val="32"/>
          <w:szCs w:val="32"/>
          <w:lang w:val="en-US" w:eastAsia="zh-CN"/>
        </w:rPr>
        <w:t>财政部门作为预算绩效管理改革主导者和牵头者，负责推动政府部门开展预算绩效管理工作的责任主体。预算部门是预算绩效管理的第一责任人，负责本部门预算绩效管理工作的实施、推动和执行，构建部门预算绩效管理体系。项目单位是资金使用绩效的直接责任主体，作为预算绩效管理流程的末端环节，项目单位是财政资金支出的执行者和操作者，对每一笔资金的支出绩效结果负责。</w:t>
      </w:r>
    </w:p>
    <w:p>
      <w:pPr>
        <w:keepNext w:val="0"/>
        <w:keepLines w:val="0"/>
        <w:pageBreakBefore w:val="0"/>
        <w:widowControl w:val="0"/>
        <w:pBdr>
          <w:bottom w:val="single" w:color="FFFFFF" w:sz="4" w:space="31"/>
        </w:pBdr>
        <w:kinsoku/>
        <w:wordWrap/>
        <w:overflowPunct/>
        <w:topLinePunct w:val="0"/>
        <w:autoSpaceDE/>
        <w:autoSpaceDN w:val="0"/>
        <w:bidi w:val="0"/>
        <w:adjustRightInd/>
        <w:snapToGrid/>
        <w:spacing w:line="560" w:lineRule="exact"/>
        <w:ind w:firstLine="643" w:firstLineChars="200"/>
        <w:textAlignment w:val="auto"/>
        <w:rPr>
          <w:rFonts w:hint="eastAsia" w:ascii="仿宋_GB2312" w:hAnsi="仿宋" w:eastAsia="仿宋_GB2312" w:cstheme="minorBidi"/>
          <w:color w:val="000000"/>
          <w:sz w:val="32"/>
          <w:szCs w:val="32"/>
          <w:lang w:val="en-US" w:eastAsia="zh-CN"/>
        </w:rPr>
      </w:pPr>
      <w:r>
        <w:rPr>
          <w:rFonts w:hint="eastAsia" w:ascii="楷体_GB2312" w:hAnsi="楷体_GB2312" w:eastAsia="楷体_GB2312" w:cs="楷体_GB2312"/>
          <w:b/>
          <w:bCs/>
          <w:color w:val="000000"/>
          <w:sz w:val="32"/>
          <w:szCs w:val="32"/>
          <w:lang w:val="en-US" w:eastAsia="zh-CN"/>
        </w:rPr>
        <w:t>（四）硬化责任约束，确保绩效管理规范化。</w:t>
      </w:r>
      <w:r>
        <w:rPr>
          <w:rFonts w:hint="eastAsia" w:ascii="仿宋_GB2312" w:hAnsi="仿宋_GB2312" w:eastAsia="仿宋_GB2312" w:cs="仿宋_GB2312"/>
          <w:color w:val="333333"/>
          <w:kern w:val="2"/>
          <w:sz w:val="32"/>
          <w:szCs w:val="32"/>
        </w:rPr>
        <w:t>健全绩效评价结果反馈制度和绩效问题整改责任制，形成反馈、整改、提升绩效的良性循环，建立绩效评价结果与预算安排和政策调整挂钩机制，将部门整体绩效与部门预算安排挂钩</w:t>
      </w:r>
      <w:r>
        <w:rPr>
          <w:rFonts w:hint="eastAsia" w:ascii="仿宋_GB2312" w:hAnsi="仿宋_GB2312" w:eastAsia="仿宋_GB2312" w:cs="仿宋_GB2312"/>
          <w:color w:val="333333"/>
          <w:kern w:val="2"/>
          <w:sz w:val="32"/>
          <w:szCs w:val="32"/>
          <w:lang w:eastAsia="zh-CN"/>
        </w:rPr>
        <w:t>，</w:t>
      </w:r>
      <w:r>
        <w:rPr>
          <w:rFonts w:hint="eastAsia" w:ascii="仿宋_GB2312" w:hAnsi="仿宋_GB2312" w:eastAsia="仿宋_GB2312" w:cs="仿宋_GB2312"/>
          <w:color w:val="333333"/>
          <w:kern w:val="2"/>
          <w:sz w:val="32"/>
          <w:szCs w:val="32"/>
        </w:rPr>
        <w:t>对绩效好的政策和项目原则上优先保障，对绩效一般的政策和项目要督促改进，对交叉重复和碎片化的政策和项目予以调整，对低效无效资金一律削减或取消，对长期沉淀资金一律</w:t>
      </w:r>
      <w:r>
        <w:rPr>
          <w:rFonts w:hint="eastAsia" w:ascii="仿宋_GB2312" w:hAnsi="仿宋" w:eastAsia="仿宋_GB2312" w:cstheme="minorBidi"/>
          <w:color w:val="000000"/>
          <w:sz w:val="32"/>
          <w:szCs w:val="32"/>
          <w:lang w:val="en-US" w:eastAsia="zh-CN"/>
        </w:rPr>
        <w:t>收回并按照有关规定统筹用于亟需支持的领域。</w:t>
      </w:r>
    </w:p>
    <w:p>
      <w:pPr>
        <w:keepNext w:val="0"/>
        <w:keepLines w:val="0"/>
        <w:pageBreakBefore w:val="0"/>
        <w:widowControl w:val="0"/>
        <w:pBdr>
          <w:bottom w:val="single" w:color="FFFFFF" w:sz="4" w:space="31"/>
        </w:pBdr>
        <w:kinsoku/>
        <w:wordWrap/>
        <w:overflowPunct/>
        <w:topLinePunct w:val="0"/>
        <w:autoSpaceDE/>
        <w:autoSpaceDN/>
        <w:bidi w:val="0"/>
        <w:adjustRightInd/>
        <w:spacing w:line="560" w:lineRule="exact"/>
        <w:ind w:firstLine="643" w:firstLineChars="200"/>
        <w:textAlignment w:val="top"/>
        <w:rPr>
          <w:rFonts w:hint="eastAsia" w:ascii="仿宋_GB2312" w:hAnsi="仿宋_GB2312" w:eastAsia="仿宋_GB2312" w:cs="仿宋_GB2312"/>
          <w:color w:val="333333"/>
          <w:sz w:val="32"/>
          <w:szCs w:val="32"/>
          <w:lang w:val="en-US" w:eastAsia="zh-CN"/>
        </w:rPr>
      </w:pPr>
      <w:r>
        <w:rPr>
          <w:rFonts w:hint="eastAsia" w:ascii="楷体_GB2312" w:hAnsi="楷体_GB2312" w:eastAsia="楷体_GB2312" w:cs="楷体_GB2312"/>
          <w:b/>
          <w:bCs/>
          <w:color w:val="000000"/>
          <w:sz w:val="32"/>
          <w:szCs w:val="32"/>
          <w:lang w:val="en-US" w:eastAsia="zh-CN"/>
        </w:rPr>
        <w:t>（五）加大公开力度，确保绩效信息透明化。</w:t>
      </w:r>
      <w:r>
        <w:rPr>
          <w:rFonts w:hint="eastAsia" w:ascii="仿宋_GB2312" w:hAnsi="仿宋_GB2312" w:eastAsia="仿宋_GB2312" w:cs="仿宋_GB2312"/>
          <w:color w:val="333333"/>
          <w:kern w:val="2"/>
          <w:sz w:val="32"/>
          <w:szCs w:val="32"/>
        </w:rPr>
        <w:t>大力推动重大政策和项目绩效目标、绩效自评以及重点绩效评价结果随同预决算报送同级人大，并依法</w:t>
      </w:r>
      <w:r>
        <w:rPr>
          <w:rFonts w:hint="eastAsia" w:ascii="仿宋_GB2312" w:hAnsi="仿宋_GB2312" w:eastAsia="仿宋_GB2312" w:cs="仿宋_GB2312"/>
          <w:color w:val="333333"/>
          <w:kern w:val="2"/>
          <w:sz w:val="32"/>
          <w:szCs w:val="32"/>
          <w:lang w:eastAsia="zh-CN"/>
        </w:rPr>
        <w:t>向社会</w:t>
      </w:r>
      <w:r>
        <w:rPr>
          <w:rFonts w:hint="eastAsia" w:ascii="仿宋_GB2312" w:hAnsi="仿宋_GB2312" w:eastAsia="仿宋_GB2312" w:cs="仿宋_GB2312"/>
          <w:color w:val="333333"/>
          <w:kern w:val="2"/>
          <w:sz w:val="32"/>
          <w:szCs w:val="32"/>
        </w:rPr>
        <w:t>予以公开。</w:t>
      </w:r>
      <w:r>
        <w:rPr>
          <w:rFonts w:hint="eastAsia" w:ascii="仿宋_GB2312" w:hAnsi="仿宋_GB2312" w:eastAsia="仿宋_GB2312" w:cs="仿宋_GB2312"/>
          <w:color w:val="333333"/>
          <w:kern w:val="2"/>
          <w:sz w:val="32"/>
          <w:szCs w:val="32"/>
          <w:lang w:eastAsia="zh-CN"/>
        </w:rPr>
        <w:t>积极</w:t>
      </w:r>
      <w:r>
        <w:rPr>
          <w:rFonts w:hint="eastAsia" w:ascii="仿宋_GB2312" w:hAnsi="仿宋_GB2312" w:eastAsia="仿宋_GB2312" w:cs="仿宋_GB2312"/>
          <w:color w:val="333333"/>
          <w:kern w:val="2"/>
          <w:sz w:val="32"/>
          <w:szCs w:val="32"/>
        </w:rPr>
        <w:t>探索建立部门单位预算整体绩效报告制度，</w:t>
      </w:r>
      <w:r>
        <w:rPr>
          <w:rFonts w:hint="eastAsia" w:ascii="仿宋_GB2312" w:hAnsi="仿宋_GB2312" w:eastAsia="仿宋_GB2312" w:cs="仿宋_GB2312"/>
          <w:color w:val="333333"/>
          <w:kern w:val="2"/>
          <w:sz w:val="32"/>
          <w:szCs w:val="32"/>
          <w:lang w:eastAsia="zh-CN"/>
        </w:rPr>
        <w:t>各单位预算整体支出绩效自评情况向上级主管部门报告，各部门预算整体绩效自评情况向县委和人民政府报告，坚决杜绝不报告、少报告、晚报告，并将报告情况依法向社会公开，确保绩效信息及时化、透明化</w:t>
      </w:r>
      <w:r>
        <w:rPr>
          <w:rFonts w:hint="eastAsia" w:ascii="仿宋_GB2312" w:hAnsi="仿宋_GB2312" w:eastAsia="仿宋_GB2312" w:cs="仿宋_GB2312"/>
          <w:color w:val="333333"/>
          <w:kern w:val="2"/>
          <w:sz w:val="32"/>
          <w:szCs w:val="32"/>
        </w:rPr>
        <w:t>。</w:t>
      </w:r>
      <w:r>
        <w:rPr>
          <w:rFonts w:hint="eastAsia" w:ascii="仿宋_GB2312" w:hAnsi="仿宋_GB2312" w:eastAsia="仿宋_GB2312" w:cs="仿宋_GB2312"/>
          <w:color w:val="333333"/>
          <w:sz w:val="32"/>
          <w:szCs w:val="32"/>
          <w:lang w:val="en-US" w:eastAsia="zh-CN"/>
        </w:rPr>
        <w:t xml:space="preserve">                         </w:t>
      </w:r>
    </w:p>
    <w:p>
      <w:pPr>
        <w:keepNext w:val="0"/>
        <w:keepLines w:val="0"/>
        <w:pageBreakBefore w:val="0"/>
        <w:widowControl w:val="0"/>
        <w:pBdr>
          <w:bottom w:val="single" w:color="FFFFFF" w:sz="4" w:space="31"/>
        </w:pBdr>
        <w:kinsoku/>
        <w:wordWrap/>
        <w:overflowPunct/>
        <w:topLinePunct w:val="0"/>
        <w:autoSpaceDE/>
        <w:autoSpaceDN/>
        <w:bidi w:val="0"/>
        <w:adjustRightInd/>
        <w:spacing w:line="560" w:lineRule="exact"/>
        <w:ind w:firstLine="640" w:firstLineChars="200"/>
        <w:jc w:val="center"/>
        <w:textAlignment w:val="top"/>
        <w:rPr>
          <w:rFonts w:hint="eastAsia" w:ascii="仿宋_GB2312" w:hAnsi="仿宋_GB2312" w:eastAsia="仿宋_GB2312" w:cs="仿宋_GB2312"/>
          <w:color w:val="333333"/>
          <w:sz w:val="32"/>
          <w:szCs w:val="32"/>
          <w:lang w:val="en-US" w:eastAsia="zh-CN"/>
        </w:rPr>
      </w:pPr>
      <w:r>
        <w:rPr>
          <w:rFonts w:hint="eastAsia" w:ascii="仿宋_GB2312" w:hAnsi="仿宋_GB2312" w:eastAsia="仿宋_GB2312" w:cs="仿宋_GB2312"/>
          <w:color w:val="333333"/>
          <w:sz w:val="32"/>
          <w:szCs w:val="32"/>
          <w:lang w:val="en-US" w:eastAsia="zh-CN"/>
        </w:rPr>
        <w:t xml:space="preserve">                             尼勒克县财政局  </w:t>
      </w:r>
    </w:p>
    <w:p>
      <w:pPr>
        <w:keepNext w:val="0"/>
        <w:keepLines w:val="0"/>
        <w:pageBreakBefore w:val="0"/>
        <w:widowControl w:val="0"/>
        <w:pBdr>
          <w:bottom w:val="single" w:color="FFFFFF" w:sz="4" w:space="31"/>
        </w:pBdr>
        <w:kinsoku/>
        <w:wordWrap/>
        <w:overflowPunct/>
        <w:topLinePunct w:val="0"/>
        <w:autoSpaceDE/>
        <w:autoSpaceDN/>
        <w:bidi w:val="0"/>
        <w:adjustRightInd/>
        <w:spacing w:line="560" w:lineRule="exact"/>
        <w:ind w:firstLine="640" w:firstLineChars="200"/>
        <w:jc w:val="right"/>
        <w:textAlignment w:val="top"/>
        <w:rPr>
          <w:rFonts w:hint="default"/>
          <w:lang w:val="en-US" w:eastAsia="zh-CN"/>
        </w:rPr>
      </w:pPr>
      <w:r>
        <w:rPr>
          <w:rFonts w:hint="eastAsia" w:ascii="仿宋_GB2312" w:hAnsi="仿宋_GB2312" w:eastAsia="仿宋_GB2312" w:cs="仿宋_GB2312"/>
          <w:color w:val="333333"/>
          <w:sz w:val="32"/>
          <w:szCs w:val="32"/>
          <w:lang w:val="en-US" w:eastAsia="zh-CN"/>
        </w:rPr>
        <w:t>2021年11月13日</w:t>
      </w:r>
    </w:p>
    <w:p>
      <w:pPr>
        <w:keepNext w:val="0"/>
        <w:keepLines w:val="0"/>
        <w:pageBreakBefore w:val="0"/>
        <w:widowControl w:val="0"/>
        <w:pBdr>
          <w:top w:val="single" w:color="auto" w:sz="6" w:space="1"/>
          <w:bottom w:val="single" w:color="auto" w:sz="4" w:space="1"/>
        </w:pBdr>
        <w:kinsoku/>
        <w:wordWrap/>
        <w:overflowPunct/>
        <w:topLinePunct w:val="0"/>
        <w:autoSpaceDE/>
        <w:autoSpaceDN/>
        <w:bidi w:val="0"/>
        <w:adjustRightInd/>
        <w:snapToGrid/>
        <w:spacing w:line="600" w:lineRule="exact"/>
        <w:textAlignment w:val="auto"/>
        <w:rPr>
          <w:rFonts w:hint="default"/>
          <w:lang w:val="en-US" w:eastAsia="zh-CN"/>
        </w:rPr>
      </w:pPr>
      <w:r>
        <w:rPr>
          <w:rFonts w:hint="eastAsia" w:ascii="仿宋" w:hAnsi="仿宋" w:eastAsia="仿宋" w:cs="仿宋"/>
          <w:sz w:val="32"/>
          <w:szCs w:val="32"/>
          <w:lang w:eastAsia="zh-CN"/>
        </w:rPr>
        <w:t>抄送：州财政局、人大、政府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C5C2D"/>
    <w:rsid w:val="00021B99"/>
    <w:rsid w:val="00026C59"/>
    <w:rsid w:val="000740AD"/>
    <w:rsid w:val="000A4688"/>
    <w:rsid w:val="000F2593"/>
    <w:rsid w:val="00120A8E"/>
    <w:rsid w:val="00145D5E"/>
    <w:rsid w:val="001C5C2D"/>
    <w:rsid w:val="00293870"/>
    <w:rsid w:val="002A780B"/>
    <w:rsid w:val="002E311C"/>
    <w:rsid w:val="003075BA"/>
    <w:rsid w:val="00410D0E"/>
    <w:rsid w:val="004602D1"/>
    <w:rsid w:val="00574A40"/>
    <w:rsid w:val="006600A1"/>
    <w:rsid w:val="00695E22"/>
    <w:rsid w:val="006C547E"/>
    <w:rsid w:val="007A5945"/>
    <w:rsid w:val="00897748"/>
    <w:rsid w:val="008B0FF4"/>
    <w:rsid w:val="0091670C"/>
    <w:rsid w:val="009458DA"/>
    <w:rsid w:val="009868A5"/>
    <w:rsid w:val="009F5A7E"/>
    <w:rsid w:val="00A6083F"/>
    <w:rsid w:val="00A640CF"/>
    <w:rsid w:val="00A928E7"/>
    <w:rsid w:val="00AC654A"/>
    <w:rsid w:val="00AD6CB4"/>
    <w:rsid w:val="00BB5070"/>
    <w:rsid w:val="00BE114D"/>
    <w:rsid w:val="00BE3C86"/>
    <w:rsid w:val="00C848D7"/>
    <w:rsid w:val="00CF1F7B"/>
    <w:rsid w:val="00D22F33"/>
    <w:rsid w:val="00D63023"/>
    <w:rsid w:val="00E02844"/>
    <w:rsid w:val="00E145D7"/>
    <w:rsid w:val="00E2000B"/>
    <w:rsid w:val="00E35E2F"/>
    <w:rsid w:val="00E80BF8"/>
    <w:rsid w:val="00E81C2C"/>
    <w:rsid w:val="00E95FAF"/>
    <w:rsid w:val="00EB4659"/>
    <w:rsid w:val="00F15178"/>
    <w:rsid w:val="00F55AA5"/>
    <w:rsid w:val="02EC04ED"/>
    <w:rsid w:val="037E4AC5"/>
    <w:rsid w:val="03FC6F41"/>
    <w:rsid w:val="06447754"/>
    <w:rsid w:val="076B06C8"/>
    <w:rsid w:val="07DB4CD4"/>
    <w:rsid w:val="09E573A3"/>
    <w:rsid w:val="0C2177AE"/>
    <w:rsid w:val="0DCB41E2"/>
    <w:rsid w:val="0F6458E6"/>
    <w:rsid w:val="0FB628CF"/>
    <w:rsid w:val="1032144E"/>
    <w:rsid w:val="11423BD4"/>
    <w:rsid w:val="11AF076D"/>
    <w:rsid w:val="137E49C9"/>
    <w:rsid w:val="14B85637"/>
    <w:rsid w:val="16AC7895"/>
    <w:rsid w:val="17E46233"/>
    <w:rsid w:val="1B41443F"/>
    <w:rsid w:val="1BCD08A3"/>
    <w:rsid w:val="1CB31AB4"/>
    <w:rsid w:val="1D4C1CE8"/>
    <w:rsid w:val="1DD31076"/>
    <w:rsid w:val="221D6183"/>
    <w:rsid w:val="24A47353"/>
    <w:rsid w:val="25C90374"/>
    <w:rsid w:val="25F56139"/>
    <w:rsid w:val="2809280E"/>
    <w:rsid w:val="28410EB0"/>
    <w:rsid w:val="284E4419"/>
    <w:rsid w:val="2CDF7E7A"/>
    <w:rsid w:val="31D56985"/>
    <w:rsid w:val="323858B5"/>
    <w:rsid w:val="328951DE"/>
    <w:rsid w:val="33EE3D1A"/>
    <w:rsid w:val="354F086B"/>
    <w:rsid w:val="36A3495E"/>
    <w:rsid w:val="3C3673CB"/>
    <w:rsid w:val="3C6D5003"/>
    <w:rsid w:val="3DEB4E03"/>
    <w:rsid w:val="42C01413"/>
    <w:rsid w:val="446330D2"/>
    <w:rsid w:val="498279C1"/>
    <w:rsid w:val="4D793C48"/>
    <w:rsid w:val="4DD80AD3"/>
    <w:rsid w:val="4F011670"/>
    <w:rsid w:val="508E72F1"/>
    <w:rsid w:val="512132F7"/>
    <w:rsid w:val="56A24479"/>
    <w:rsid w:val="56C74F8A"/>
    <w:rsid w:val="571038C9"/>
    <w:rsid w:val="57CF52FF"/>
    <w:rsid w:val="5AE93E4C"/>
    <w:rsid w:val="5BB80064"/>
    <w:rsid w:val="5BBD3B45"/>
    <w:rsid w:val="5C0F394C"/>
    <w:rsid w:val="5C1E6A91"/>
    <w:rsid w:val="5C6652AA"/>
    <w:rsid w:val="5FFA5DBC"/>
    <w:rsid w:val="603840F8"/>
    <w:rsid w:val="604371F5"/>
    <w:rsid w:val="62DD0740"/>
    <w:rsid w:val="638E47AA"/>
    <w:rsid w:val="64DF7799"/>
    <w:rsid w:val="64FA0F7A"/>
    <w:rsid w:val="65510438"/>
    <w:rsid w:val="669F5F4D"/>
    <w:rsid w:val="6736760F"/>
    <w:rsid w:val="678B1102"/>
    <w:rsid w:val="69DD67BB"/>
    <w:rsid w:val="6A1A14E9"/>
    <w:rsid w:val="6C066F4D"/>
    <w:rsid w:val="6CC878BC"/>
    <w:rsid w:val="6CF51236"/>
    <w:rsid w:val="6DD82740"/>
    <w:rsid w:val="75C8257C"/>
    <w:rsid w:val="76041E4E"/>
    <w:rsid w:val="7653329E"/>
    <w:rsid w:val="76614512"/>
    <w:rsid w:val="77C626D0"/>
    <w:rsid w:val="7BF52FFA"/>
    <w:rsid w:val="7EC85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keepNext/>
      <w:keepLines/>
      <w:spacing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semiHidden/>
    <w:unhideWhenUsed/>
    <w:qFormat/>
    <w:uiPriority w:val="99"/>
    <w:pPr>
      <w:snapToGrid w:val="0"/>
      <w:jc w:val="left"/>
    </w:pPr>
    <w:rPr>
      <w:sz w:val="18"/>
    </w:rPr>
  </w:style>
  <w:style w:type="paragraph" w:styleId="5">
    <w:name w:val="Body Text Indent"/>
    <w:basedOn w:val="1"/>
    <w:semiHidden/>
    <w:unhideWhenUsed/>
    <w:qFormat/>
    <w:uiPriority w:val="99"/>
    <w:pPr>
      <w:spacing w:before="0" w:after="120"/>
      <w:ind w:left="420" w:right="50" w:firstLine="200"/>
    </w:p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Body Text First Indent 2"/>
    <w:basedOn w:val="5"/>
    <w:next w:val="1"/>
    <w:qFormat/>
    <w:uiPriority w:val="0"/>
    <w:pPr>
      <w:widowControl/>
      <w:spacing w:beforeAutospacing="1" w:after="0" w:line="440" w:lineRule="exact"/>
      <w:ind w:left="0" w:right="50" w:firstLine="420"/>
    </w:pPr>
    <w:rPr>
      <w:kern w:val="0"/>
      <w:sz w:val="24"/>
      <w:szCs w:val="20"/>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paragraph" w:customStyle="1" w:styleId="12">
    <w:name w:val="BodyText1I2"/>
    <w:basedOn w:val="13"/>
    <w:qFormat/>
    <w:uiPriority w:val="0"/>
    <w:pPr>
      <w:spacing w:after="120"/>
      <w:ind w:left="420" w:leftChars="200" w:firstLine="420" w:firstLineChars="200"/>
      <w:jc w:val="both"/>
      <w:textAlignment w:val="baseline"/>
    </w:pPr>
  </w:style>
  <w:style w:type="paragraph" w:customStyle="1" w:styleId="13">
    <w:name w:val="BodyTextIndent"/>
    <w:basedOn w:val="1"/>
    <w:qFormat/>
    <w:uiPriority w:val="0"/>
    <w:pPr>
      <w:spacing w:after="120"/>
      <w:ind w:left="420" w:leftChars="200"/>
      <w:jc w:val="both"/>
      <w:textAlignment w:val="baseline"/>
    </w:pPr>
  </w:style>
  <w:style w:type="character" w:customStyle="1" w:styleId="14">
    <w:name w:val="页眉 Char"/>
    <w:basedOn w:val="10"/>
    <w:link w:val="8"/>
    <w:qFormat/>
    <w:uiPriority w:val="0"/>
    <w:rPr>
      <w:rFonts w:ascii="Times New Roman" w:hAnsi="Times New Roman" w:cs="Times New Roman"/>
      <w:kern w:val="2"/>
      <w:sz w:val="18"/>
      <w:szCs w:val="18"/>
    </w:rPr>
  </w:style>
  <w:style w:type="character" w:customStyle="1" w:styleId="15">
    <w:name w:val="页脚 Char"/>
    <w:basedOn w:val="10"/>
    <w:link w:val="6"/>
    <w:qFormat/>
    <w:uiPriority w:val="0"/>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416</Words>
  <Characters>2374</Characters>
  <Lines>19</Lines>
  <Paragraphs>5</Paragraphs>
  <TotalTime>32</TotalTime>
  <ScaleCrop>false</ScaleCrop>
  <LinksUpToDate>false</LinksUpToDate>
  <CharactersWithSpaces>2785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2019-11-25T09:30:00Z</dcterms:created>
  <dc:creator>Administrator</dc:creator>
  <cp:lastModifiedBy>Administrator</cp:lastModifiedBy>
  <cp:lastPrinted>2019-12-03T06:00:00Z</cp:lastPrinted>
  <dcterms:modified xsi:type="dcterms:W3CDTF">2023-08-12T03:03:11Z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