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40C" w:rsidRPr="00C6630B" w:rsidRDefault="002F240C" w:rsidP="00C6630B">
      <w:pPr>
        <w:spacing w:line="560" w:lineRule="exact"/>
        <w:jc w:val="center"/>
        <w:rPr>
          <w:rFonts w:ascii="Times New Roman" w:eastAsia="方正小标宋_GBK" w:hAnsi="Times New Roman" w:cs="Times New Roman"/>
          <w:sz w:val="40"/>
          <w:szCs w:val="40"/>
        </w:rPr>
      </w:pPr>
      <w:r w:rsidRPr="00C6630B">
        <w:rPr>
          <w:rFonts w:ascii="Times New Roman" w:eastAsia="方正小标宋_GBK" w:hAnsi="Times New Roman" w:cs="Times New Roman" w:hint="eastAsia"/>
          <w:sz w:val="40"/>
          <w:szCs w:val="40"/>
        </w:rPr>
        <w:t>关于尼</w:t>
      </w:r>
      <w:r w:rsidRPr="00C6630B">
        <w:rPr>
          <w:rFonts w:ascii="Times New Roman" w:eastAsia="方正小标宋_GBK" w:hAnsi="Times New Roman" w:cs="Times New Roman"/>
          <w:sz w:val="40"/>
          <w:szCs w:val="40"/>
        </w:rPr>
        <w:t>勒克县</w:t>
      </w:r>
      <w:r w:rsidRPr="00C6630B">
        <w:rPr>
          <w:rFonts w:ascii="Times New Roman" w:eastAsia="方正小标宋_GBK" w:hAnsi="Times New Roman" w:cs="Times New Roman" w:hint="eastAsia"/>
          <w:sz w:val="40"/>
          <w:szCs w:val="40"/>
        </w:rPr>
        <w:t>2021</w:t>
      </w:r>
      <w:r w:rsidRPr="00C6630B">
        <w:rPr>
          <w:rFonts w:ascii="Times New Roman" w:eastAsia="方正小标宋_GBK" w:hAnsi="Times New Roman" w:cs="Times New Roman" w:hint="eastAsia"/>
          <w:sz w:val="40"/>
          <w:szCs w:val="40"/>
        </w:rPr>
        <w:t>年财政决算情况报告</w:t>
      </w:r>
    </w:p>
    <w:p w:rsidR="002F240C" w:rsidRPr="002F240C" w:rsidRDefault="002F240C" w:rsidP="002F240C">
      <w:pPr>
        <w:jc w:val="center"/>
        <w:rPr>
          <w:rFonts w:ascii="宋体" w:eastAsia="宋体" w:hAnsi="宋体" w:hint="eastAsia"/>
          <w:sz w:val="30"/>
          <w:szCs w:val="30"/>
        </w:rPr>
      </w:pPr>
      <w:r w:rsidRPr="00C6630B">
        <w:rPr>
          <w:rFonts w:ascii="方正楷体_GBK" w:eastAsia="方正楷体_GBK" w:hAnsi="方正楷体_GBK" w:cs="方正楷体_GBK" w:hint="eastAsia"/>
          <w:sz w:val="30"/>
          <w:szCs w:val="30"/>
        </w:rPr>
        <w:t>2022年7月26</w:t>
      </w:r>
      <w:r w:rsidRPr="00C6630B">
        <w:rPr>
          <w:rFonts w:ascii="方正楷体_GBK" w:eastAsia="方正楷体_GBK" w:hAnsi="方正楷体_GBK" w:cs="方正楷体_GBK"/>
          <w:sz w:val="30"/>
          <w:szCs w:val="30"/>
        </w:rPr>
        <w:t>日</w:t>
      </w:r>
      <w:r w:rsidRPr="00C6630B">
        <w:rPr>
          <w:rFonts w:ascii="方正楷体_GBK" w:eastAsia="方正楷体_GBK" w:hAnsi="方正楷体_GBK" w:cs="方正楷体_GBK" w:hint="eastAsia"/>
          <w:sz w:val="30"/>
          <w:szCs w:val="30"/>
        </w:rPr>
        <w:t>在</w:t>
      </w:r>
      <w:r w:rsidRPr="00C6630B">
        <w:rPr>
          <w:rFonts w:ascii="方正楷体_GBK" w:eastAsia="方正楷体_GBK" w:hAnsi="方正楷体_GBK" w:cs="方正楷体_GBK"/>
          <w:sz w:val="30"/>
          <w:szCs w:val="30"/>
        </w:rPr>
        <w:t>县十八届人大</w:t>
      </w:r>
      <w:r w:rsidRPr="00C6630B">
        <w:rPr>
          <w:rFonts w:ascii="方正楷体_GBK" w:eastAsia="方正楷体_GBK" w:hAnsi="方正楷体_GBK" w:cs="方正楷体_GBK" w:hint="eastAsia"/>
          <w:sz w:val="30"/>
          <w:szCs w:val="30"/>
        </w:rPr>
        <w:t>常委</w:t>
      </w:r>
      <w:r w:rsidRPr="00C6630B">
        <w:rPr>
          <w:rFonts w:ascii="方正楷体_GBK" w:eastAsia="方正楷体_GBK" w:hAnsi="方正楷体_GBK" w:cs="方正楷体_GBK"/>
          <w:sz w:val="30"/>
          <w:szCs w:val="30"/>
        </w:rPr>
        <w:t>会第</w:t>
      </w:r>
      <w:r w:rsidRPr="00C6630B">
        <w:rPr>
          <w:rFonts w:ascii="方正楷体_GBK" w:eastAsia="方正楷体_GBK" w:hAnsi="方正楷体_GBK" w:cs="方正楷体_GBK" w:hint="eastAsia"/>
          <w:sz w:val="30"/>
          <w:szCs w:val="30"/>
        </w:rPr>
        <w:t>5次</w:t>
      </w:r>
      <w:r w:rsidRPr="00C6630B">
        <w:rPr>
          <w:rFonts w:ascii="方正楷体_GBK" w:eastAsia="方正楷体_GBK" w:hAnsi="方正楷体_GBK" w:cs="方正楷体_GBK"/>
          <w:sz w:val="30"/>
          <w:szCs w:val="30"/>
        </w:rPr>
        <w:t>会议上</w:t>
      </w:r>
    </w:p>
    <w:p w:rsidR="00C6630B" w:rsidRDefault="00C6630B" w:rsidP="00C6630B">
      <w:pPr>
        <w:spacing w:line="560" w:lineRule="exact"/>
        <w:jc w:val="center"/>
        <w:rPr>
          <w:rFonts w:ascii="方正楷体_GBK" w:eastAsia="方正楷体_GBK" w:hAnsi="方正楷体_GBK" w:cs="方正楷体_GBK"/>
          <w:b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b/>
          <w:sz w:val="30"/>
          <w:szCs w:val="30"/>
        </w:rPr>
        <w:t>尼勒克县财政局党组书记、局长  徐擎</w:t>
      </w:r>
    </w:p>
    <w:p w:rsidR="00C6630B" w:rsidRDefault="00C6630B" w:rsidP="002F240C">
      <w:pPr>
        <w:rPr>
          <w:rFonts w:ascii="方正仿宋_GBK" w:eastAsia="方正仿宋_GBK" w:hAnsi="方正仿宋_GBK" w:cs="方正仿宋_GBK"/>
          <w:bCs/>
          <w:sz w:val="32"/>
          <w:szCs w:val="32"/>
        </w:rPr>
      </w:pPr>
    </w:p>
    <w:p w:rsidR="002F240C" w:rsidRPr="00C6630B" w:rsidRDefault="002F240C" w:rsidP="002F240C">
      <w:pPr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大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主任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、各位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副主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任、各位委员：</w:t>
      </w:r>
    </w:p>
    <w:p w:rsidR="002F240C" w:rsidRPr="00C6630B" w:rsidRDefault="002F240C">
      <w:pPr>
        <w:ind w:firstLineChars="200" w:firstLine="640"/>
        <w:rPr>
          <w:rFonts w:ascii="方正仿宋_GBK" w:eastAsia="方正仿宋_GBK" w:hAnsi="方正仿宋_GBK" w:cs="方正仿宋_GBK" w:hint="eastAsia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我受县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人民政府的委托，向县十八届人大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常委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会第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5次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会议汇报我县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2021年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财政决算情况，请予以审议。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2021年是中国共产党走过苦难辉煌的100周年，是“两个一百年”奋斗目标历史交汇的关键一年，也是“十四五”规划开篇布局、开启全面建设社会主义现代化国家新征程的开局之年。在县委、县政府的坚强领导下，以完整准确贯彻新时代党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的治疆方略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为主线，以贯彻落实社会稳定和长治久安总目标为统领，以奋力推进“3+1”工作部署为重心，统筹推进疫情防控和经济社会发展，各项工作取得高效推进的良好局面。在此基础上，财政改革发展各项工作取得新进展，决算情况总体较好。根据预算法有关规定，重点报告以下情况：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一、2021年财政收支决算情况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（一）2021年一般公共预算收支决算情况。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2021年在财税部门的共同努力下，一般公共预算收入完成42707万元，为预算的110.35%，增长24.70%。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加上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返还性收入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4264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一般性转移支付收入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154277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专项转移支付收入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29999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债务转贷收入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36300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调入资金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24679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动用预算稳定调节基金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5317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上年结余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15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，收入总量为297558万元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。一般公共预算支出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227203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万元，比上年同期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244123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减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支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16930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下降6.94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%，完成调整预算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250495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万元的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90.70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%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。加上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上解上级支出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1462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债务还本支出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16916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补充预算稳定调节基金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28685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，支出总量为274266万元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。收支相抵，年终结余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23292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万元，减结转下年支出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23292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万元，净结余为0万元。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收入决算有关具体情况：2021年，我县积极克服经济下行、疫情防控常态化、税源单一和落实减税降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费政策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等诸多不利因素，强化征管、细化服务、堵漏挖潜等举措，全年完成一般公共预算收入42707万元，同比增收8458万元，增长24.70%。其中，税收完成26043万元，同比增收3219万元，增长14.10%。地方税收运行保持平稳，主要是疫情得到有效控制，宏观经济运行形势好转，税收增长势头好于预期。非税收入完成16664万元，同比增收5239万元，增长45.86%，主要是专项收入及捐赠收入大幅增收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支出决算有关具体情况：我县在财政收入形势严峻的情况下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充分履行公共财政职能，优化支出结构，按照科学化、精细化管理要求，盘活财政存量资金，着力在促发展、调结构和惠民生等方面发挥积极作用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，在财政资金周转困难的情况下我县积极筹措资金发放了2018年及2020年绩效工资。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2021年全县一般公共预算支出完成227203万元，下降6.94%，主要原因一是新增一般债券收入减少；二是因取消国库集中支付结余额度使得专项资金支出同比大幅减支。其中，教育支出53848万元，增长7.96%；科学技术支出122万元，增长7.02%；社会保障和就业支出24353万元，下降20.56%，主要是机关及城乡养老保险基金专项减少；卫生健康支出26103万元，下降8.78%，主要是计划生育、公共卫生专项资金支出减少；住房保障支出9081万元，下降12.75%，主要是保障性安居工程专项资金减少；交通运输支出5830万元，下降6.68%，主要是车辆购置税用于农村公路建设支出减少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2021年，预备费预算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1671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万元，实际支出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1671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万元，主要用于疫情防控方面。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2021年，“三公”经费财政拨款支出合计709万元（包括基本支出和项目支出安排的经费），同比减少8万元，主要是部门落实过紧日子要求，厉行节约，从严控制和压缩“三公”经费支出。其中，公务用车购置及运行费585万元，减少1万元；公务接待费124万元，减少7万元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（二）2021年政府性基金预算收支决算情况。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政府性基金预算收入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34317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万元，为预算的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694.82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%</w:t>
      </w:r>
      <w:r w:rsidR="002F559D">
        <w:rPr>
          <w:rFonts w:ascii="方正仿宋_GBK" w:eastAsia="方正仿宋_GBK" w:hAnsi="方正仿宋_GBK" w:cs="方正仿宋_GBK" w:hint="eastAsia"/>
          <w:bCs/>
          <w:sz w:val="32"/>
          <w:szCs w:val="32"/>
        </w:rPr>
        <w:t>，同比</w:t>
      </w:r>
      <w:r w:rsidR="002F559D">
        <w:rPr>
          <w:rFonts w:ascii="方正仿宋_GBK" w:eastAsia="方正仿宋_GBK" w:hAnsi="方正仿宋_GBK" w:cs="方正仿宋_GBK"/>
          <w:bCs/>
          <w:sz w:val="32"/>
          <w:szCs w:val="32"/>
        </w:rPr>
        <w:t>增收</w:t>
      </w:r>
      <w:r w:rsidR="002F559D">
        <w:rPr>
          <w:rFonts w:ascii="方正仿宋_GBK" w:eastAsia="方正仿宋_GBK" w:hAnsi="方正仿宋_GBK" w:cs="方正仿宋_GBK" w:hint="eastAsia"/>
          <w:bCs/>
          <w:sz w:val="32"/>
          <w:szCs w:val="32"/>
        </w:rPr>
        <w:t>24671万元</w:t>
      </w:r>
      <w:r w:rsidR="002F559D">
        <w:rPr>
          <w:rFonts w:ascii="方正仿宋_GBK" w:eastAsia="方正仿宋_GBK" w:hAnsi="方正仿宋_GBK" w:cs="方正仿宋_GBK"/>
          <w:bCs/>
          <w:sz w:val="32"/>
          <w:szCs w:val="32"/>
        </w:rPr>
        <w:t>，增长</w:t>
      </w:r>
      <w:r w:rsidR="002F559D">
        <w:rPr>
          <w:rFonts w:ascii="方正仿宋_GBK" w:eastAsia="方正仿宋_GBK" w:hAnsi="方正仿宋_GBK" w:cs="方正仿宋_GBK" w:hint="eastAsia"/>
          <w:bCs/>
          <w:sz w:val="32"/>
          <w:szCs w:val="32"/>
        </w:rPr>
        <w:t>255.76%，</w:t>
      </w:r>
      <w:r w:rsidR="002F559D">
        <w:rPr>
          <w:rFonts w:ascii="方正仿宋_GBK" w:eastAsia="方正仿宋_GBK" w:hAnsi="方正仿宋_GBK" w:cs="方正仿宋_GBK"/>
          <w:bCs/>
          <w:sz w:val="32"/>
          <w:szCs w:val="32"/>
        </w:rPr>
        <w:t>主要是国有土地出让金收入大幅增收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。加上</w:t>
      </w:r>
      <w:r w:rsid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上</w:t>
      </w:r>
      <w:r w:rsidR="00C6630B">
        <w:rPr>
          <w:rFonts w:ascii="方正仿宋_GBK" w:eastAsia="方正仿宋_GBK" w:hAnsi="方正仿宋_GBK" w:cs="方正仿宋_GBK"/>
          <w:bCs/>
          <w:sz w:val="32"/>
          <w:szCs w:val="32"/>
        </w:rPr>
        <w:t>级</w:t>
      </w:r>
      <w:r w:rsid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补助</w:t>
      </w:r>
      <w:r w:rsidR="00C6630B">
        <w:rPr>
          <w:rFonts w:ascii="方正仿宋_GBK" w:eastAsia="方正仿宋_GBK" w:hAnsi="方正仿宋_GBK" w:cs="方正仿宋_GBK"/>
          <w:bCs/>
          <w:sz w:val="32"/>
          <w:szCs w:val="32"/>
        </w:rPr>
        <w:t>收入</w:t>
      </w:r>
      <w:r w:rsid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1091万元</w:t>
      </w:r>
      <w:r w:rsidR="00C6630B">
        <w:rPr>
          <w:rFonts w:ascii="方正仿宋_GBK" w:eastAsia="方正仿宋_GBK" w:hAnsi="方正仿宋_GBK" w:cs="方正仿宋_GBK"/>
          <w:bCs/>
          <w:sz w:val="32"/>
          <w:szCs w:val="32"/>
        </w:rPr>
        <w:t>、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债务转贷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36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000万元、上年结余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4818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万元，收入总量为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76226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万元。政府性基金预算支出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40828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万元，完成预算的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93.5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%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，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同比增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支2376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万元，增长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6.18%，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主要是债务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付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息支出增加</w:t>
      </w:r>
      <w:bookmarkStart w:id="0" w:name="_GoBack"/>
      <w:bookmarkEnd w:id="0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。加上上解上级支出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万元、调入一般公共预算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24635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万元、债务还本支出2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20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万元，支出总量为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65685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万元。收支相抵，年终结余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10541万元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（三）2021年国有资本经营预算收支决算情况。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国有资本经营预算收入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44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万元，为预算的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780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%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，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主要是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天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元保安公司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40万元</w:t>
      </w:r>
      <w:r w:rsidR="006D4799">
        <w:rPr>
          <w:rFonts w:ascii="方正仿宋_GBK" w:eastAsia="方正仿宋_GBK" w:hAnsi="方正仿宋_GBK" w:cs="方正仿宋_GBK"/>
          <w:bCs/>
          <w:sz w:val="32"/>
          <w:szCs w:val="32"/>
        </w:rPr>
        <w:t>、金地粮油购销公司</w:t>
      </w:r>
      <w:r w:rsidR="006D4799">
        <w:rPr>
          <w:rFonts w:ascii="方正仿宋_GBK" w:eastAsia="方正仿宋_GBK" w:hAnsi="方正仿宋_GBK" w:cs="方正仿宋_GBK" w:hint="eastAsia"/>
          <w:bCs/>
          <w:sz w:val="32"/>
          <w:szCs w:val="32"/>
        </w:rPr>
        <w:t>4万元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。加上上级补助收入2万元，收入总量为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46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万元。调入一般公共预算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44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万元。结转下年支出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（四）2021年社会保险基金预算收支决算情况。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社会保险基金收入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26040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万元，其中，社会保险费收入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13283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万元，财政补贴收入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11106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万元，利息收入1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07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万元，转移收入1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236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万元，其他收入2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3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万元。社会保险基金支出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23753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万元。当年收支结余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2287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万元，年末滚存结余</w:t>
      </w:r>
      <w:r w:rsidRPr="00C6630B">
        <w:rPr>
          <w:rFonts w:ascii="方正仿宋_GBK" w:eastAsia="方正仿宋_GBK" w:hAnsi="方正仿宋_GBK" w:cs="方正仿宋_GBK"/>
          <w:bCs/>
          <w:sz w:val="32"/>
          <w:szCs w:val="32"/>
        </w:rPr>
        <w:t>14788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万元。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二、全面落实积极的财政政策，有力保障疫情防控和经济社会发展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2021年，面对经济下行和财政收支矛盾突出的严峻形势，财政部门坚持以习近平新时代中国特色社会主义思想为指导，坚持积极财政政策并更加积极有为，树牢过紧日子思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想，加强财政资源统筹，扎实做好“六稳”工作、全面落实“六保”任务，为统筹推进疫情防控和经济社会发展做好财政保障。</w:t>
      </w:r>
    </w:p>
    <w:p w:rsidR="00796767" w:rsidRPr="00C6630B" w:rsidRDefault="00F82736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积极财政政策，促进经济持续稳定发展。一是多渠道筹集资金加大支出力度。二是加大结转结存资金盘活使用力度，增加可用财力，弥补财政减收增支缺口。三是用好地方政府专项债券扩大有效投资。</w:t>
      </w:r>
    </w:p>
    <w:p w:rsidR="00796767" w:rsidRPr="00C6630B" w:rsidRDefault="00F82736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坚持生命至上，全力支持抗击新冠肺炎疫情。优先保障疫情防控经费。把疫情防控作为最重要、最紧迫的工作来抓，按照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特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事特办、急事急办原则，加快资金拨付使用，确保不因资金问题而影响医疗救治和疫情防控。</w:t>
      </w:r>
    </w:p>
    <w:p w:rsidR="00796767" w:rsidRPr="00C6630B" w:rsidRDefault="00F82736">
      <w:pPr>
        <w:numPr>
          <w:ilvl w:val="0"/>
          <w:numId w:val="1"/>
        </w:num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突出民生兜底，优先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稳就业保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民生。一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是着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力保居民就业，拓宽就业相关资金保障渠道，支持就业创业扶持政策落实。二是深入实施义务教育薄弱环节改善与能力提升工作，合理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完善普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惠性学前教育保障机制，促进职业教育高质量发展。三是强化卫生健康投入，加大公共卫生体系建设力度。四是提高社会保障水平，保障困难群众基本生活。五是支持城镇老旧小区改造。</w:t>
      </w:r>
    </w:p>
    <w:p w:rsidR="00796767" w:rsidRPr="00C6630B" w:rsidRDefault="00F82736" w:rsidP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三、加快推进财税体制改革，持续提升财政管理水平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（一）落实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落细财政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直达资金机制。按照中央建立财政资金直达机制部署，切实加快资金安排、拨付和使用，实现对每笔资金从源头到末端的全链条、全过程跟踪，确保每一笔资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金数据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真实、账目清晰、流向明确，切实惠企利民。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（二）全面落实政府过紧日子要求。始终牢固树立艰苦奋斗、勤俭节约思想，把政府过紧日子作为财政工作长期坚持的方针，从严编制预算，严把支出关口，除疫情防控、债务付息等必要增支外，其他支出总体上控制在批准的预算规模内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（三）进一步加强预算管理。严格落实预算法有关规定，</w:t>
      </w:r>
      <w:r w:rsidR="00DD4EB1"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加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快推进预算管理一体化建设，以信息化推动预算管理现代化。强化部门预算管理约束机制，根据预算执行、决算、评审、审计、监管等工作中发现的问题，适当减少相关部门预算安排。扎实推进项目支出标准体系建设，进一步强化基本支出定员定额管理，更好发挥标准在预算管理中的基础性作用。</w:t>
      </w:r>
      <w:r w:rsidR="00DD4EB1"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扎实做好预决算公开工作，提高预决算</w:t>
      </w:r>
      <w:r w:rsidR="00DD4EB1" w:rsidRPr="00C6630B">
        <w:rPr>
          <w:rFonts w:ascii="方正仿宋_GBK" w:eastAsia="方正仿宋_GBK" w:hAnsi="方正仿宋_GBK" w:cs="方正仿宋_GBK"/>
          <w:bCs/>
          <w:sz w:val="32"/>
          <w:szCs w:val="32"/>
        </w:rPr>
        <w:t>工作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透明度。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四）推动预算绩效管理提质增效。加强绩效目标审核，建立健全绩效目标与预算同步申报、同步审核、同步批复下达的工作机制。强化财政评价和绩效结果应用，组织对重点民生政策和重大项目开展绩效评价，将绩效结果作为完善政策、安排预算、改进管理的重要依据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（五）强化地方政府债务管理。坚持底线思维，增强风险意识，进一步完善管理规范、责任清晰、公开透明、风险可控的地方政府举债融资机制。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总体来看，2021年决算情况总体较好，但是也面临许多困难和问题：从财政收入看，一是财政收入增收乏力。我县</w:t>
      </w: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税收主要依赖于资源性企业，经济结构单一，财政收入增长支撑乏力,经济发展缺乏活力,同时受一次性因素拉动较大,并非受益于经济增长拉动，财政增收后劲不足。二是财政收入结构有待优化。2021年税收占财政收入的比重为61%，比 2020年提高6个百分点。从财政支出看，受减税降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费政策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持续加力、支持经济社会发展、兜牢基层“三保”底线、政府债券还本付息等刚性支出有增无减，财政收支矛盾十分突出，财政“紧运行”态势十分明显。对此，我们将高度重视，有针对性地采取有力举措，努力提升财政管理水平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一是进一步加强财政收支管理。加强收入调度和税费征管，确保财政收入持续稳定增长，提高税收占比优化财政收入结构。加大财政资源统筹力度，增强财政综合保障能力。严格落实政府带头过紧日子各项要求，严把预算支出关口，严格控制预算追加，大力压减一般性支出。常态化实施财政资金直达机制，保障直达资金惠企利民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二是进一步落实好促进高质量发展的财政政策。坚决落实各项减税降费措施，进一步减轻企业特别是中小</w:t>
      </w:r>
      <w:proofErr w:type="gramStart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微企业</w:t>
      </w:r>
      <w:proofErr w:type="gramEnd"/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负担，激发市场主体活力。管好用好政府债券资金，保障重大项目建设资金需求。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t>三是进一步增进民生福祉。聚焦群众所需所盼，进一步加大民生投入力度，集中财力保障好疫情防控、就业、医疗、养老等重点民生支出，推动重点民生实事落地见效。</w:t>
      </w:r>
    </w:p>
    <w:p w:rsidR="00796767" w:rsidRPr="00C6630B" w:rsidRDefault="00F82736">
      <w:pPr>
        <w:ind w:firstLineChars="200" w:firstLine="64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C6630B">
        <w:rPr>
          <w:rFonts w:ascii="方正仿宋_GBK" w:eastAsia="方正仿宋_GBK" w:hAnsi="方正仿宋_GBK" w:cs="方正仿宋_GBK" w:hint="eastAsia"/>
          <w:bCs/>
          <w:sz w:val="32"/>
          <w:szCs w:val="32"/>
        </w:rPr>
        <w:lastRenderedPageBreak/>
        <w:t>四是进一步深化财政改革管理。盘活行政事业性国有资产，进一步优化财政资源配置。完善财力保障、库款运筹等机制，切实兜牢基层“三保”底线。健全政府举债融资和债务化解机制，严防发生债务风险，确保政府债务率稳定在合理区间。扎实做好审计问题整改，加大财会监督力度，维护财经法纪的严肃性。</w:t>
      </w:r>
    </w:p>
    <w:sectPr w:rsidR="00796767" w:rsidRPr="00C66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00"/>
    <w:family w:val="auto"/>
    <w:pitch w:val="default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B75D6"/>
    <w:multiLevelType w:val="singleLevel"/>
    <w:tmpl w:val="781B75D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3MDExNjVmODhkZjJiM2U2ZTUwNDJjM2I3N2FiMGYifQ=="/>
  </w:docVars>
  <w:rsids>
    <w:rsidRoot w:val="00054436"/>
    <w:rsid w:val="00054436"/>
    <w:rsid w:val="00157709"/>
    <w:rsid w:val="002F240C"/>
    <w:rsid w:val="002F559D"/>
    <w:rsid w:val="00443D65"/>
    <w:rsid w:val="005632B4"/>
    <w:rsid w:val="006D4799"/>
    <w:rsid w:val="006E4C09"/>
    <w:rsid w:val="00746475"/>
    <w:rsid w:val="00796767"/>
    <w:rsid w:val="008B5817"/>
    <w:rsid w:val="00950733"/>
    <w:rsid w:val="009F7807"/>
    <w:rsid w:val="00A10031"/>
    <w:rsid w:val="00A80F41"/>
    <w:rsid w:val="00C6630B"/>
    <w:rsid w:val="00DD4EB1"/>
    <w:rsid w:val="00E53BB9"/>
    <w:rsid w:val="00EF7AF6"/>
    <w:rsid w:val="00F82736"/>
    <w:rsid w:val="0CC36510"/>
    <w:rsid w:val="16225917"/>
    <w:rsid w:val="3238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932C8"/>
  <w15:docId w15:val="{F62D74B6-EF9E-4A69-9F53-88259EEF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375"/>
      </w:tabs>
      <w:spacing w:line="520" w:lineRule="atLeast"/>
      <w:ind w:right="-612"/>
    </w:pPr>
    <w:rPr>
      <w:rFonts w:ascii="仿宋_GB2312" w:eastAsia="仿宋_GB2312" w:hint="eastAsia"/>
      <w:sz w:val="32"/>
      <w:szCs w:val="20"/>
    </w:rPr>
  </w:style>
  <w:style w:type="paragraph" w:styleId="a4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0"/>
    <w:uiPriority w:val="22"/>
    <w:qFormat/>
    <w:rPr>
      <w:b/>
    </w:rPr>
  </w:style>
  <w:style w:type="character" w:styleId="a6">
    <w:name w:val="FollowedHyperlink"/>
    <w:basedOn w:val="a0"/>
    <w:uiPriority w:val="99"/>
    <w:semiHidden/>
    <w:unhideWhenUsed/>
    <w:rPr>
      <w:color w:val="333333"/>
      <w:u w:val="none"/>
    </w:rPr>
  </w:style>
  <w:style w:type="character" w:styleId="a7">
    <w:name w:val="Hyperlink"/>
    <w:basedOn w:val="a0"/>
    <w:uiPriority w:val="99"/>
    <w:semiHidden/>
    <w:unhideWhenUsed/>
    <w:rPr>
      <w:color w:val="333333"/>
      <w:u w:val="none"/>
    </w:rPr>
  </w:style>
  <w:style w:type="paragraph" w:styleId="a8">
    <w:name w:val="Balloon Text"/>
    <w:basedOn w:val="a"/>
    <w:link w:val="a9"/>
    <w:uiPriority w:val="99"/>
    <w:semiHidden/>
    <w:unhideWhenUsed/>
    <w:rsid w:val="002F240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F240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98B2-C231-4F5F-9973-D47C6C4C1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王美丽</dc:creator>
  <cp:lastModifiedBy>xbany</cp:lastModifiedBy>
  <cp:revision>9</cp:revision>
  <cp:lastPrinted>2022-07-26T01:51:00Z</cp:lastPrinted>
  <dcterms:created xsi:type="dcterms:W3CDTF">2022-07-05T13:54:00Z</dcterms:created>
  <dcterms:modified xsi:type="dcterms:W3CDTF">2022-07-26T03:09:00Z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959A74AE08DF495CBCCC010EF6931141</vt:lpwstr>
  </property>
</Properties>
</file>