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rPr>
          <w:rFonts w:hint="eastAsia" w:ascii="黑体" w:hAnsi="黑体" w:eastAsia="黑体"/>
          <w:color w:val="auto"/>
          <w:sz w:val="44"/>
          <w:szCs w:val="44"/>
          <w:shd w:val="clear" w:color="auto" w:fill="FFFFFF"/>
        </w:rPr>
      </w:pPr>
      <w:r>
        <w:rPr>
          <w:rFonts w:hint="eastAsia" w:ascii="黑体" w:hAnsi="黑体" w:eastAsia="黑体"/>
          <w:color w:val="auto"/>
          <w:sz w:val="44"/>
          <w:szCs w:val="44"/>
          <w:shd w:val="clear" w:color="auto" w:fill="FFFFFF"/>
        </w:rPr>
        <w:t>202</w:t>
      </w:r>
      <w:r>
        <w:rPr>
          <w:rFonts w:hint="eastAsia" w:ascii="黑体" w:hAnsi="黑体" w:eastAsia="黑体"/>
          <w:color w:val="auto"/>
          <w:sz w:val="44"/>
          <w:szCs w:val="44"/>
          <w:shd w:val="clear" w:color="auto" w:fill="FFFFFF"/>
          <w:lang w:val="en-US" w:eastAsia="zh-CN"/>
        </w:rPr>
        <w:t>1</w:t>
      </w:r>
      <w:r>
        <w:rPr>
          <w:rFonts w:hint="eastAsia" w:ascii="黑体" w:hAnsi="黑体" w:eastAsia="黑体"/>
          <w:color w:val="auto"/>
          <w:sz w:val="44"/>
          <w:szCs w:val="44"/>
          <w:shd w:val="clear" w:color="auto" w:fill="FFFFFF"/>
        </w:rPr>
        <w:t>年度一般公共预算收支决算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rPr>
          <w:rFonts w:hint="eastAsia" w:ascii="黑体" w:hAnsi="黑体" w:eastAsia="黑体"/>
          <w:color w:val="auto"/>
          <w:sz w:val="44"/>
          <w:szCs w:val="44"/>
          <w:shd w:val="clear" w:color="auto" w:fill="FFFFFF"/>
        </w:rPr>
      </w:pPr>
      <w:r>
        <w:rPr>
          <w:rFonts w:hint="eastAsia" w:ascii="黑体" w:hAnsi="黑体" w:eastAsia="黑体"/>
          <w:color w:val="auto"/>
          <w:sz w:val="44"/>
          <w:szCs w:val="44"/>
          <w:shd w:val="clear" w:color="auto" w:fill="FFFFFF"/>
        </w:rPr>
        <w:t>公开说明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640"/>
        <w:jc w:val="both"/>
        <w:rPr>
          <w:rFonts w:hint="eastAsia" w:ascii="仿宋" w:hAnsi="仿宋" w:eastAsia="仿宋"/>
          <w:color w:val="auto"/>
          <w:sz w:val="32"/>
          <w:szCs w:val="32"/>
          <w:shd w:val="clear" w:color="auto" w:fill="FFFFFF"/>
        </w:rPr>
      </w:pP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640"/>
        <w:jc w:val="both"/>
        <w:rPr>
          <w:rFonts w:ascii="Calibri" w:hAnsi="Calibri"/>
          <w:color w:val="auto"/>
        </w:rPr>
      </w:pPr>
      <w:r>
        <w:rPr>
          <w:rFonts w:hint="eastAsia" w:ascii="仿宋" w:hAnsi="仿宋" w:eastAsia="仿宋"/>
          <w:color w:val="auto"/>
          <w:sz w:val="32"/>
          <w:szCs w:val="32"/>
          <w:shd w:val="clear" w:color="auto" w:fill="FFFFFF"/>
        </w:rPr>
        <w:t>202</w:t>
      </w:r>
      <w:r>
        <w:rPr>
          <w:rFonts w:hint="eastAsia" w:ascii="仿宋" w:hAnsi="仿宋" w:eastAsia="仿宋"/>
          <w:color w:val="auto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仿宋" w:hAnsi="仿宋" w:eastAsia="仿宋"/>
          <w:color w:val="auto"/>
          <w:sz w:val="32"/>
          <w:szCs w:val="32"/>
          <w:shd w:val="clear" w:color="auto" w:fill="FFFFFF"/>
        </w:rPr>
        <w:t>年，我县在县委、县政府的坚强领导下，在县人大、县政协和社会各界的监督支持下，积极应对疫情影响，坚持稳中求进工作总基调，扎实做好“六稳”工作，全面落实“六保”任务，为经济社会发展提供了坚实的保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rPr>
          <w:rFonts w:asciiTheme="minorEastAsia" w:hAnsiTheme="minorEastAsia" w:eastAsiaTheme="minorEastAsia"/>
          <w:b/>
          <w:color w:val="auto"/>
          <w:sz w:val="32"/>
          <w:szCs w:val="32"/>
        </w:rPr>
      </w:pPr>
      <w:r>
        <w:rPr>
          <w:rFonts w:asciiTheme="minorEastAsia" w:hAnsiTheme="minorEastAsia" w:eastAsiaTheme="minorEastAsia"/>
          <w:b/>
          <w:color w:val="auto"/>
          <w:sz w:val="32"/>
          <w:szCs w:val="32"/>
        </w:rPr>
        <w:t>一、</w:t>
      </w:r>
      <w:r>
        <w:rPr>
          <w:rFonts w:hint="eastAsia" w:asciiTheme="minorEastAsia" w:hAnsiTheme="minorEastAsia" w:eastAsiaTheme="minorEastAsia"/>
          <w:b/>
          <w:color w:val="auto"/>
          <w:sz w:val="32"/>
          <w:szCs w:val="32"/>
        </w:rPr>
        <w:t>202</w:t>
      </w:r>
      <w:r>
        <w:rPr>
          <w:rFonts w:hint="eastAsia" w:asciiTheme="minorEastAsia" w:hAnsiTheme="minorEastAsia" w:eastAsiaTheme="minorEastAsia"/>
          <w:b/>
          <w:color w:val="auto"/>
          <w:sz w:val="32"/>
          <w:szCs w:val="32"/>
          <w:lang w:val="en-US" w:eastAsia="zh-CN"/>
        </w:rPr>
        <w:t>1</w:t>
      </w:r>
      <w:r>
        <w:rPr>
          <w:rFonts w:hint="eastAsia" w:asciiTheme="minorEastAsia" w:hAnsiTheme="minorEastAsia" w:eastAsiaTheme="minorEastAsia"/>
          <w:b/>
          <w:color w:val="auto"/>
          <w:sz w:val="32"/>
          <w:szCs w:val="32"/>
        </w:rPr>
        <w:t>年国民经济基本情况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29"/>
        <w:textAlignment w:val="auto"/>
        <w:outlineLvl w:val="9"/>
        <w:rPr>
          <w:rFonts w:hint="eastAsia" w:ascii="仿宋" w:hAnsi="仿宋" w:eastAsia="仿宋" w:cs="Times New Roman"/>
          <w:color w:val="auto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" w:hAnsi="仿宋" w:eastAsia="仿宋" w:cs="Times New Roman"/>
          <w:color w:val="auto"/>
          <w:kern w:val="0"/>
          <w:sz w:val="32"/>
          <w:szCs w:val="32"/>
          <w:shd w:val="clear" w:color="auto" w:fill="FFFFFF"/>
          <w:lang w:val="en-US" w:eastAsia="zh-CN" w:bidi="ar-SA"/>
        </w:rPr>
        <w:t>初步测算，2021年全年地方生产总值74.12亿元，同比增长11.6%。分产业看，第一产业增加值26.97亿元，同比增长11.4%；第二产业增加值20.55亿元，同比增长20.4%；第三产业增加值26.6亿元，同比增长6.4%。三次产业结构比为36.4：27.7：35.9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29"/>
        <w:textAlignment w:val="auto"/>
        <w:outlineLvl w:val="9"/>
        <w:rPr>
          <w:rFonts w:hint="eastAsia" w:ascii="仿宋" w:hAnsi="仿宋" w:eastAsia="仿宋" w:cs="Times New Roman"/>
          <w:color w:val="auto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" w:hAnsi="仿宋" w:eastAsia="仿宋" w:cs="Times New Roman"/>
          <w:color w:val="auto"/>
          <w:kern w:val="0"/>
          <w:sz w:val="32"/>
          <w:szCs w:val="32"/>
          <w:shd w:val="clear" w:color="auto" w:fill="FFFFFF"/>
          <w:lang w:val="en-US" w:eastAsia="zh-CN" w:bidi="ar-SA"/>
        </w:rPr>
        <w:t>完成工业总产值27.8亿元，同比增长30.6%，其中规模以上工业总产值26.4亿元，同比增长31.5%。规模以上工业增加值9.8亿元，同比增长1.6%，在总计中，采矿业1.9亿元，同比增长61%，制造业2.7亿元，同比增长8.7%，电力、热力、燃气及水生产和供应业5.2亿元，同比下降10.2%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outlineLvl w:val="9"/>
        <w:rPr>
          <w:rFonts w:hint="eastAsia" w:ascii="仿宋_GB2312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Times New Roman"/>
          <w:color w:val="auto"/>
          <w:kern w:val="0"/>
          <w:sz w:val="32"/>
          <w:szCs w:val="32"/>
          <w:shd w:val="clear" w:color="auto" w:fill="FFFFFF"/>
          <w:lang w:val="en-US" w:eastAsia="zh-CN" w:bidi="ar-SA"/>
        </w:rPr>
        <w:t>全年500万元以上固定资产投资同比增长82.2%。分城乡来看，城镇投资同比增长1.6倍，农村投资同比增长27.2%，房地产投资同比增长3.5倍。分产业来看，第一产业同比增长13.9倍；第二产业同比增长89.3%；第三产业同比增长63.2%。从构成来看，建筑工程同比增长65.6%，设备购置同比增长4.1倍，其它费用增长44.9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rPr>
          <w:rFonts w:asciiTheme="minorEastAsia" w:hAnsiTheme="minorEastAsia" w:eastAsiaTheme="minorEastAsia"/>
          <w:b/>
          <w:color w:val="auto"/>
          <w:sz w:val="32"/>
          <w:szCs w:val="32"/>
        </w:rPr>
      </w:pPr>
      <w:r>
        <w:rPr>
          <w:rFonts w:asciiTheme="minorEastAsia" w:hAnsiTheme="minorEastAsia" w:eastAsiaTheme="minorEastAsia"/>
          <w:b/>
          <w:color w:val="auto"/>
          <w:sz w:val="32"/>
          <w:szCs w:val="32"/>
        </w:rPr>
        <w:t>二、一般公共预算收支及平衡情况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outlineLvl w:val="9"/>
        <w:rPr>
          <w:rFonts w:hint="eastAsia" w:ascii="仿宋" w:hAnsi="仿宋" w:eastAsia="仿宋" w:cs="Times New Roman"/>
          <w:color w:val="auto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" w:hAnsi="仿宋" w:eastAsia="仿宋" w:cs="Times New Roman"/>
          <w:color w:val="auto"/>
          <w:kern w:val="0"/>
          <w:sz w:val="32"/>
          <w:szCs w:val="32"/>
          <w:shd w:val="clear" w:color="auto" w:fill="FFFFFF"/>
          <w:lang w:val="en-US" w:eastAsia="zh-CN" w:bidi="ar-SA"/>
        </w:rPr>
        <w:t>2021年在财税部门的共同努力下，一般公共预算收入完成42707万元，为预算的110.35%，增长24.70%。加上返还性收入4264万元、一般性转移支付收入154277万元、专项转移支付收入29999万元、债务转贷收入36300万元、调入资金24679万元、动用预算稳定调节基金5317万元、上年结余15万元，收入总量为297558万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outlineLvl w:val="9"/>
        <w:rPr>
          <w:rFonts w:hint="eastAsia" w:ascii="仿宋" w:hAnsi="仿宋" w:eastAsia="仿宋" w:cs="Times New Roman"/>
          <w:color w:val="auto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" w:hAnsi="仿宋" w:eastAsia="仿宋" w:cs="Times New Roman"/>
          <w:color w:val="auto"/>
          <w:kern w:val="0"/>
          <w:sz w:val="32"/>
          <w:szCs w:val="32"/>
          <w:shd w:val="clear" w:color="auto" w:fill="FFFFFF"/>
          <w:lang w:val="en-US" w:eastAsia="zh-CN" w:bidi="ar-SA"/>
        </w:rPr>
        <w:t>一般公共预算支出227203万元，比上年同期244123万元减支16930万元，下降6.94%，完成调整预算250495万元的90.70%。加上上解上级支出1462万元、债务还本支出16916万元、补充预算稳定调节基金28685万元，支出总量为274266万元。收支相抵，年终结余23292万元，减结转下年支出23292万元，净结余为0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rPr>
          <w:rFonts w:asciiTheme="minorEastAsia" w:hAnsiTheme="minorEastAsia" w:eastAsiaTheme="minorEastAsia"/>
          <w:b/>
          <w:color w:val="auto"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color w:val="auto"/>
          <w:sz w:val="32"/>
          <w:szCs w:val="32"/>
        </w:rPr>
        <w:t>三、</w:t>
      </w:r>
      <w:r>
        <w:rPr>
          <w:rFonts w:asciiTheme="minorEastAsia" w:hAnsiTheme="minorEastAsia" w:eastAsiaTheme="minorEastAsia"/>
          <w:b/>
          <w:color w:val="auto"/>
          <w:sz w:val="32"/>
          <w:szCs w:val="32"/>
        </w:rPr>
        <w:t>一般公共预算财政收入情况分析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rPr>
          <w:rFonts w:ascii="仿宋" w:hAnsi="仿宋" w:eastAsia="仿宋"/>
          <w:b/>
          <w:color w:val="auto"/>
          <w:sz w:val="32"/>
          <w:szCs w:val="32"/>
        </w:rPr>
      </w:pPr>
      <w:r>
        <w:rPr>
          <w:rFonts w:ascii="仿宋" w:hAnsi="仿宋" w:eastAsia="仿宋"/>
          <w:b/>
          <w:color w:val="auto"/>
          <w:sz w:val="32"/>
          <w:szCs w:val="32"/>
        </w:rPr>
        <w:t>从组织收入的级次来看: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202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color w:val="auto"/>
          <w:sz w:val="32"/>
          <w:szCs w:val="32"/>
        </w:rPr>
        <w:t>年，我县全口径财政收入完成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102137</w:t>
      </w:r>
      <w:r>
        <w:rPr>
          <w:rFonts w:hint="eastAsia" w:ascii="仿宋" w:hAnsi="仿宋" w:eastAsia="仿宋"/>
          <w:color w:val="auto"/>
          <w:sz w:val="32"/>
          <w:szCs w:val="32"/>
        </w:rPr>
        <w:t>万元，增长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56.59</w:t>
      </w:r>
      <w:r>
        <w:rPr>
          <w:rFonts w:hint="eastAsia" w:ascii="仿宋" w:hAnsi="仿宋" w:eastAsia="仿宋"/>
          <w:color w:val="auto"/>
          <w:sz w:val="32"/>
          <w:szCs w:val="32"/>
        </w:rPr>
        <w:t>%，增收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36910</w:t>
      </w:r>
      <w:r>
        <w:rPr>
          <w:rFonts w:hint="eastAsia" w:ascii="仿宋" w:hAnsi="仿宋" w:eastAsia="仿宋"/>
          <w:color w:val="auto"/>
          <w:sz w:val="32"/>
          <w:szCs w:val="32"/>
        </w:rPr>
        <w:t>万元。其中：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上划中央级收入为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21738</w:t>
      </w:r>
      <w:r>
        <w:rPr>
          <w:rFonts w:hint="eastAsia" w:ascii="仿宋" w:hAnsi="仿宋" w:eastAsia="仿宋"/>
          <w:color w:val="auto"/>
          <w:sz w:val="32"/>
          <w:szCs w:val="32"/>
        </w:rPr>
        <w:t>万元,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增</w:t>
      </w:r>
      <w:r>
        <w:rPr>
          <w:rFonts w:hint="eastAsia" w:ascii="仿宋" w:hAnsi="仿宋" w:eastAsia="仿宋"/>
          <w:color w:val="auto"/>
          <w:sz w:val="32"/>
          <w:szCs w:val="32"/>
        </w:rPr>
        <w:t>收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3387</w:t>
      </w:r>
      <w:r>
        <w:rPr>
          <w:rFonts w:hint="eastAsia" w:ascii="仿宋" w:hAnsi="仿宋" w:eastAsia="仿宋"/>
          <w:color w:val="auto"/>
          <w:sz w:val="32"/>
          <w:szCs w:val="32"/>
        </w:rPr>
        <w:t>万元，其中上划中央四税分别为:增值税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13937</w:t>
      </w:r>
      <w:r>
        <w:rPr>
          <w:rFonts w:hint="eastAsia" w:ascii="仿宋" w:hAnsi="仿宋" w:eastAsia="仿宋"/>
          <w:color w:val="auto"/>
          <w:sz w:val="32"/>
          <w:szCs w:val="32"/>
        </w:rPr>
        <w:t>万元，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增长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8.47</w:t>
      </w:r>
      <w:r>
        <w:rPr>
          <w:rFonts w:hint="eastAsia" w:ascii="仿宋" w:hAnsi="仿宋" w:eastAsia="仿宋"/>
          <w:color w:val="auto"/>
          <w:sz w:val="32"/>
          <w:szCs w:val="32"/>
        </w:rPr>
        <w:t>%；消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费税</w:t>
      </w:r>
      <w:r>
        <w:rPr>
          <w:rFonts w:hint="eastAsia" w:ascii="仿宋" w:hAnsi="仿宋" w:eastAsia="仿宋"/>
          <w:color w:val="auto"/>
          <w:sz w:val="32"/>
          <w:szCs w:val="32"/>
        </w:rPr>
        <w:t>4万元，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与上年持平</w:t>
      </w:r>
      <w:r>
        <w:rPr>
          <w:rFonts w:hint="eastAsia" w:ascii="仿宋" w:hAnsi="仿宋" w:eastAsia="仿宋"/>
          <w:color w:val="auto"/>
          <w:sz w:val="32"/>
          <w:szCs w:val="32"/>
        </w:rPr>
        <w:t>;企业所得税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4656</w:t>
      </w:r>
      <w:r>
        <w:rPr>
          <w:rFonts w:hint="eastAsia" w:ascii="仿宋" w:hAnsi="仿宋" w:eastAsia="仿宋"/>
          <w:color w:val="auto"/>
          <w:sz w:val="32"/>
          <w:szCs w:val="32"/>
        </w:rPr>
        <w:t>万元,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增长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37.83</w:t>
      </w:r>
      <w:r>
        <w:rPr>
          <w:rFonts w:hint="eastAsia" w:ascii="仿宋" w:hAnsi="仿宋" w:eastAsia="仿宋"/>
          <w:color w:val="auto"/>
          <w:sz w:val="32"/>
          <w:szCs w:val="32"/>
        </w:rPr>
        <w:t>%; 个人所得税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880</w:t>
      </w:r>
      <w:r>
        <w:rPr>
          <w:rFonts w:hint="eastAsia" w:ascii="仿宋" w:hAnsi="仿宋" w:eastAsia="仿宋"/>
          <w:color w:val="auto"/>
          <w:sz w:val="32"/>
          <w:szCs w:val="32"/>
        </w:rPr>
        <w:t>万元,下降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3.61</w:t>
      </w:r>
      <w:r>
        <w:rPr>
          <w:rFonts w:hint="eastAsia" w:ascii="仿宋" w:hAnsi="仿宋" w:eastAsia="仿宋"/>
          <w:color w:val="auto"/>
          <w:sz w:val="32"/>
          <w:szCs w:val="32"/>
        </w:rPr>
        <w:t>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上划省(市)级收入为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1520</w:t>
      </w:r>
      <w:r>
        <w:rPr>
          <w:rFonts w:hint="eastAsia" w:ascii="仿宋" w:hAnsi="仿宋" w:eastAsia="仿宋"/>
          <w:color w:val="auto"/>
          <w:sz w:val="32"/>
          <w:szCs w:val="32"/>
        </w:rPr>
        <w:t>万元，其中增值税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1036</w:t>
      </w:r>
      <w:r>
        <w:rPr>
          <w:rFonts w:hint="eastAsia" w:ascii="仿宋" w:hAnsi="仿宋" w:eastAsia="仿宋"/>
          <w:color w:val="auto"/>
          <w:sz w:val="32"/>
          <w:szCs w:val="32"/>
        </w:rPr>
        <w:t>万元；资源税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92</w:t>
      </w:r>
      <w:r>
        <w:rPr>
          <w:rFonts w:hint="eastAsia" w:ascii="仿宋" w:hAnsi="仿宋" w:eastAsia="仿宋"/>
          <w:color w:val="auto"/>
          <w:sz w:val="32"/>
          <w:szCs w:val="32"/>
        </w:rPr>
        <w:t>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上划地(市)级收入为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1855</w:t>
      </w:r>
      <w:r>
        <w:rPr>
          <w:rFonts w:hint="eastAsia" w:ascii="仿宋" w:hAnsi="仿宋" w:eastAsia="仿宋"/>
          <w:color w:val="auto"/>
          <w:sz w:val="32"/>
          <w:szCs w:val="32"/>
        </w:rPr>
        <w:t>万元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，其中国有土地出让权收入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1565万元。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县级地方财政收入为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77024</w:t>
      </w:r>
      <w:r>
        <w:rPr>
          <w:rFonts w:hint="eastAsia" w:ascii="仿宋" w:hAnsi="仿宋" w:eastAsia="仿宋"/>
          <w:color w:val="auto"/>
          <w:sz w:val="32"/>
          <w:szCs w:val="32"/>
        </w:rPr>
        <w:t>万元,增长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75.47</w:t>
      </w:r>
      <w:r>
        <w:rPr>
          <w:rFonts w:hint="eastAsia" w:ascii="仿宋" w:hAnsi="仿宋" w:eastAsia="仿宋"/>
          <w:color w:val="auto"/>
          <w:sz w:val="32"/>
          <w:szCs w:val="32"/>
        </w:rPr>
        <w:t>%,增收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33129</w:t>
      </w:r>
      <w:r>
        <w:rPr>
          <w:rFonts w:hint="eastAsia" w:ascii="仿宋" w:hAnsi="仿宋" w:eastAsia="仿宋"/>
          <w:color w:val="auto"/>
          <w:sz w:val="32"/>
          <w:szCs w:val="32"/>
        </w:rPr>
        <w:t>万元。其中：一般公共预算收入完成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42707</w:t>
      </w:r>
      <w:r>
        <w:rPr>
          <w:rFonts w:hint="eastAsia" w:ascii="仿宋" w:hAnsi="仿宋" w:eastAsia="仿宋"/>
          <w:color w:val="auto"/>
          <w:sz w:val="32"/>
          <w:szCs w:val="32"/>
        </w:rPr>
        <w:t>万元，完成年初预算数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38701</w:t>
      </w:r>
      <w:r>
        <w:rPr>
          <w:rFonts w:hint="eastAsia" w:ascii="仿宋" w:hAnsi="仿宋" w:eastAsia="仿宋"/>
          <w:color w:val="auto"/>
          <w:sz w:val="32"/>
          <w:szCs w:val="32"/>
        </w:rPr>
        <w:t>万元的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110.35</w:t>
      </w:r>
      <w:r>
        <w:rPr>
          <w:rFonts w:hint="eastAsia" w:ascii="仿宋" w:hAnsi="仿宋" w:eastAsia="仿宋"/>
          <w:color w:val="auto"/>
          <w:sz w:val="32"/>
          <w:szCs w:val="32"/>
        </w:rPr>
        <w:t>%，</w:t>
      </w:r>
      <w:r>
        <w:rPr>
          <w:rFonts w:hint="eastAsia" w:ascii="仿宋" w:hAnsi="仿宋" w:eastAsia="仿宋" w:cs="宋体"/>
          <w:color w:val="auto"/>
          <w:sz w:val="32"/>
          <w:szCs w:val="32"/>
        </w:rPr>
        <w:t>超收</w:t>
      </w:r>
      <w:r>
        <w:rPr>
          <w:rFonts w:hint="eastAsia" w:ascii="仿宋" w:hAnsi="仿宋" w:eastAsia="仿宋" w:cs="宋体"/>
          <w:color w:val="auto"/>
          <w:sz w:val="32"/>
          <w:szCs w:val="32"/>
          <w:lang w:val="en-US" w:eastAsia="zh-CN"/>
        </w:rPr>
        <w:t>4006</w:t>
      </w:r>
      <w:r>
        <w:rPr>
          <w:rFonts w:hint="eastAsia" w:ascii="仿宋" w:hAnsi="仿宋" w:eastAsia="仿宋" w:cs="宋体"/>
          <w:color w:val="auto"/>
          <w:sz w:val="32"/>
          <w:szCs w:val="32"/>
        </w:rPr>
        <w:t>万元，</w:t>
      </w:r>
      <w:r>
        <w:rPr>
          <w:rFonts w:hint="eastAsia" w:ascii="仿宋" w:hAnsi="仿宋" w:eastAsia="仿宋"/>
          <w:color w:val="auto"/>
          <w:sz w:val="32"/>
          <w:szCs w:val="32"/>
        </w:rPr>
        <w:t>较上年同期增长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24.70</w:t>
      </w:r>
      <w:r>
        <w:rPr>
          <w:rFonts w:hint="eastAsia" w:ascii="仿宋" w:hAnsi="仿宋" w:eastAsia="仿宋"/>
          <w:color w:val="auto"/>
          <w:sz w:val="32"/>
          <w:szCs w:val="32"/>
        </w:rPr>
        <w:t>%，增收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8458</w:t>
      </w:r>
      <w:r>
        <w:rPr>
          <w:rFonts w:hint="eastAsia" w:ascii="仿宋" w:hAnsi="仿宋" w:eastAsia="仿宋"/>
          <w:color w:val="auto"/>
          <w:sz w:val="32"/>
          <w:szCs w:val="32"/>
        </w:rPr>
        <w:t>万元；政府性基金预算收入完成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34317</w:t>
      </w:r>
      <w:r>
        <w:rPr>
          <w:rFonts w:hint="eastAsia" w:ascii="仿宋" w:hAnsi="仿宋" w:eastAsia="仿宋"/>
          <w:color w:val="auto"/>
          <w:sz w:val="32"/>
          <w:szCs w:val="32"/>
        </w:rPr>
        <w:t>万元，完成年初预算数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4939</w:t>
      </w:r>
      <w:r>
        <w:rPr>
          <w:rFonts w:hint="eastAsia" w:ascii="仿宋" w:hAnsi="仿宋" w:eastAsia="仿宋"/>
          <w:color w:val="auto"/>
          <w:sz w:val="32"/>
          <w:szCs w:val="32"/>
        </w:rPr>
        <w:t>万元的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694.82</w:t>
      </w:r>
      <w:r>
        <w:rPr>
          <w:rFonts w:hint="eastAsia" w:ascii="仿宋" w:hAnsi="仿宋" w:eastAsia="仿宋"/>
          <w:color w:val="auto"/>
          <w:sz w:val="32"/>
          <w:szCs w:val="32"/>
        </w:rPr>
        <w:t>%，较上年同期增长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255.76</w:t>
      </w:r>
      <w:r>
        <w:rPr>
          <w:rFonts w:hint="eastAsia" w:ascii="仿宋" w:hAnsi="仿宋" w:eastAsia="仿宋"/>
          <w:color w:val="auto"/>
          <w:sz w:val="32"/>
          <w:szCs w:val="32"/>
        </w:rPr>
        <w:t>%，增收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24671</w:t>
      </w:r>
      <w:r>
        <w:rPr>
          <w:rFonts w:hint="eastAsia" w:ascii="仿宋" w:hAnsi="仿宋" w:eastAsia="仿宋"/>
          <w:color w:val="auto"/>
          <w:sz w:val="32"/>
          <w:szCs w:val="32"/>
        </w:rPr>
        <w:t>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rPr>
          <w:rFonts w:ascii="仿宋" w:hAnsi="仿宋" w:eastAsia="仿宋"/>
          <w:b/>
          <w:color w:val="auto"/>
          <w:kern w:val="0"/>
          <w:sz w:val="32"/>
          <w:szCs w:val="32"/>
        </w:rPr>
      </w:pPr>
      <w:r>
        <w:rPr>
          <w:rFonts w:hint="eastAsia" w:ascii="仿宋" w:hAnsi="仿宋" w:eastAsia="仿宋"/>
          <w:b/>
          <w:color w:val="auto"/>
          <w:kern w:val="0"/>
          <w:sz w:val="32"/>
          <w:szCs w:val="32"/>
        </w:rPr>
        <w:t>从组织收入的部门来看：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税务部门组织收入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27529</w:t>
      </w:r>
      <w:r>
        <w:rPr>
          <w:rFonts w:hint="eastAsia" w:ascii="仿宋" w:hAnsi="仿宋" w:eastAsia="仿宋"/>
          <w:color w:val="auto"/>
          <w:sz w:val="32"/>
          <w:szCs w:val="32"/>
        </w:rPr>
        <w:t>万元，占一般公共预算收入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42707</w:t>
      </w:r>
      <w:r>
        <w:rPr>
          <w:rFonts w:hint="eastAsia" w:ascii="仿宋" w:hAnsi="仿宋" w:eastAsia="仿宋"/>
          <w:color w:val="auto"/>
          <w:sz w:val="32"/>
          <w:szCs w:val="32"/>
        </w:rPr>
        <w:t>万元的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64.46</w:t>
      </w:r>
      <w:r>
        <w:rPr>
          <w:rFonts w:hint="eastAsia" w:ascii="仿宋" w:hAnsi="仿宋" w:eastAsia="仿宋"/>
          <w:color w:val="auto"/>
          <w:sz w:val="32"/>
          <w:szCs w:val="32"/>
        </w:rPr>
        <w:t>%，较上年同期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24992</w:t>
      </w:r>
      <w:r>
        <w:rPr>
          <w:rFonts w:hint="eastAsia" w:ascii="仿宋" w:hAnsi="仿宋" w:eastAsia="仿宋"/>
          <w:color w:val="auto"/>
          <w:sz w:val="32"/>
          <w:szCs w:val="32"/>
        </w:rPr>
        <w:t>万元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增</w:t>
      </w:r>
      <w:r>
        <w:rPr>
          <w:rFonts w:hint="eastAsia" w:ascii="仿宋" w:hAnsi="仿宋" w:eastAsia="仿宋"/>
          <w:color w:val="auto"/>
          <w:sz w:val="32"/>
          <w:szCs w:val="32"/>
        </w:rPr>
        <w:t>收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2537</w:t>
      </w:r>
      <w:r>
        <w:rPr>
          <w:rFonts w:hint="eastAsia" w:ascii="仿宋" w:hAnsi="仿宋" w:eastAsia="仿宋"/>
          <w:color w:val="auto"/>
          <w:sz w:val="32"/>
          <w:szCs w:val="32"/>
        </w:rPr>
        <w:t>万元，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增长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10.15</w:t>
      </w:r>
      <w:r>
        <w:rPr>
          <w:rFonts w:hint="eastAsia" w:ascii="仿宋" w:hAnsi="仿宋" w:eastAsia="仿宋"/>
          <w:color w:val="auto"/>
          <w:sz w:val="32"/>
          <w:szCs w:val="32"/>
        </w:rPr>
        <w:t>%；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财政部门组织非税收入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15178</w:t>
      </w:r>
      <w:r>
        <w:rPr>
          <w:rFonts w:hint="eastAsia" w:ascii="仿宋" w:hAnsi="仿宋" w:eastAsia="仿宋"/>
          <w:color w:val="auto"/>
          <w:sz w:val="32"/>
          <w:szCs w:val="32"/>
        </w:rPr>
        <w:t>万元，占一般公共预算收入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42707</w:t>
      </w:r>
      <w:r>
        <w:rPr>
          <w:rFonts w:hint="eastAsia" w:ascii="仿宋" w:hAnsi="仿宋" w:eastAsia="仿宋"/>
          <w:color w:val="auto"/>
          <w:sz w:val="32"/>
          <w:szCs w:val="32"/>
        </w:rPr>
        <w:t>万元的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35.54</w:t>
      </w:r>
      <w:r>
        <w:rPr>
          <w:rFonts w:hint="eastAsia" w:ascii="仿宋" w:hAnsi="仿宋" w:eastAsia="仿宋"/>
          <w:color w:val="auto"/>
          <w:sz w:val="32"/>
          <w:szCs w:val="32"/>
        </w:rPr>
        <w:t>%，较上年同期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9257</w:t>
      </w:r>
      <w:r>
        <w:rPr>
          <w:rFonts w:hint="eastAsia" w:ascii="仿宋" w:hAnsi="仿宋" w:eastAsia="仿宋"/>
          <w:color w:val="auto"/>
          <w:sz w:val="32"/>
          <w:szCs w:val="32"/>
        </w:rPr>
        <w:t>万元增收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5921</w:t>
      </w:r>
      <w:r>
        <w:rPr>
          <w:rFonts w:hint="eastAsia" w:ascii="仿宋" w:hAnsi="仿宋" w:eastAsia="仿宋"/>
          <w:color w:val="auto"/>
          <w:sz w:val="32"/>
          <w:szCs w:val="32"/>
        </w:rPr>
        <w:t>万元，增长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63.96</w:t>
      </w:r>
      <w:r>
        <w:rPr>
          <w:rFonts w:hint="eastAsia" w:ascii="仿宋" w:hAnsi="仿宋" w:eastAsia="仿宋"/>
          <w:color w:val="auto"/>
          <w:sz w:val="32"/>
          <w:szCs w:val="32"/>
        </w:rPr>
        <w:t>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rPr>
          <w:rFonts w:ascii="仿宋" w:hAnsi="仿宋" w:eastAsia="仿宋"/>
          <w:b/>
          <w:color w:val="auto"/>
          <w:kern w:val="0"/>
          <w:sz w:val="32"/>
          <w:szCs w:val="32"/>
        </w:rPr>
      </w:pPr>
      <w:r>
        <w:rPr>
          <w:rFonts w:hint="eastAsia" w:ascii="仿宋" w:hAnsi="仿宋" w:eastAsia="仿宋"/>
          <w:b/>
          <w:color w:val="auto"/>
          <w:kern w:val="0"/>
          <w:sz w:val="32"/>
          <w:szCs w:val="32"/>
        </w:rPr>
        <w:t>从组织收入的项目来看：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07" w:firstLineChars="189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b/>
          <w:color w:val="auto"/>
          <w:sz w:val="32"/>
          <w:szCs w:val="32"/>
        </w:rPr>
        <w:t>税收收入</w:t>
      </w:r>
      <w:r>
        <w:rPr>
          <w:rFonts w:hint="eastAsia" w:ascii="仿宋" w:hAnsi="仿宋" w:eastAsia="仿宋"/>
          <w:color w:val="auto"/>
          <w:sz w:val="32"/>
          <w:szCs w:val="32"/>
        </w:rPr>
        <w:t>完成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26043</w:t>
      </w:r>
      <w:r>
        <w:rPr>
          <w:rFonts w:hint="eastAsia" w:ascii="仿宋" w:hAnsi="仿宋" w:eastAsia="仿宋"/>
          <w:color w:val="auto"/>
          <w:sz w:val="32"/>
          <w:szCs w:val="32"/>
        </w:rPr>
        <w:t>万元，完成年初预算的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91.22</w:t>
      </w:r>
      <w:r>
        <w:rPr>
          <w:rFonts w:hint="eastAsia" w:ascii="仿宋" w:hAnsi="仿宋" w:eastAsia="仿宋"/>
          <w:color w:val="auto"/>
          <w:sz w:val="32"/>
          <w:szCs w:val="32"/>
        </w:rPr>
        <w:t>%，较上年同期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增长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14.10</w:t>
      </w:r>
      <w:r>
        <w:rPr>
          <w:rFonts w:hint="eastAsia" w:ascii="仿宋" w:hAnsi="仿宋" w:eastAsia="仿宋"/>
          <w:color w:val="auto"/>
          <w:sz w:val="32"/>
          <w:szCs w:val="32"/>
        </w:rPr>
        <w:t>%，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增</w:t>
      </w:r>
      <w:r>
        <w:rPr>
          <w:rFonts w:hint="eastAsia" w:ascii="仿宋" w:hAnsi="仿宋" w:eastAsia="仿宋"/>
          <w:color w:val="auto"/>
          <w:sz w:val="32"/>
          <w:szCs w:val="32"/>
        </w:rPr>
        <w:t>收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3219</w:t>
      </w:r>
      <w:r>
        <w:rPr>
          <w:rFonts w:hint="eastAsia" w:ascii="仿宋" w:hAnsi="仿宋" w:eastAsia="仿宋"/>
          <w:color w:val="auto"/>
          <w:sz w:val="32"/>
          <w:szCs w:val="32"/>
        </w:rPr>
        <w:t>万元，占一般公共预算收入的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60.98</w:t>
      </w:r>
      <w:r>
        <w:rPr>
          <w:rFonts w:hint="eastAsia" w:ascii="仿宋" w:hAnsi="仿宋" w:eastAsia="仿宋"/>
          <w:color w:val="auto"/>
          <w:sz w:val="32"/>
          <w:szCs w:val="32"/>
        </w:rPr>
        <w:t>%；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07" w:firstLineChars="189"/>
        <w:rPr>
          <w:rFonts w:ascii="仿宋" w:hAnsi="仿宋" w:eastAsia="仿宋"/>
          <w:b/>
          <w:color w:val="auto"/>
          <w:sz w:val="32"/>
          <w:szCs w:val="32"/>
        </w:rPr>
      </w:pPr>
      <w:r>
        <w:rPr>
          <w:rFonts w:hint="eastAsia" w:ascii="仿宋" w:hAnsi="仿宋" w:eastAsia="仿宋"/>
          <w:b/>
          <w:color w:val="auto"/>
          <w:sz w:val="32"/>
          <w:szCs w:val="32"/>
        </w:rPr>
        <w:t>非税收入</w:t>
      </w:r>
      <w:r>
        <w:rPr>
          <w:rFonts w:hint="eastAsia" w:ascii="仿宋" w:hAnsi="仿宋" w:eastAsia="仿宋"/>
          <w:color w:val="auto"/>
          <w:sz w:val="32"/>
          <w:szCs w:val="32"/>
        </w:rPr>
        <w:t>完成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16664</w:t>
      </w:r>
      <w:r>
        <w:rPr>
          <w:rFonts w:hint="eastAsia" w:ascii="仿宋" w:hAnsi="仿宋" w:eastAsia="仿宋"/>
          <w:color w:val="auto"/>
          <w:sz w:val="32"/>
          <w:szCs w:val="32"/>
        </w:rPr>
        <w:t>万元，完成年初预算的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164.16</w:t>
      </w:r>
      <w:r>
        <w:rPr>
          <w:rFonts w:hint="eastAsia" w:ascii="仿宋" w:hAnsi="仿宋" w:eastAsia="仿宋"/>
          <w:color w:val="auto"/>
          <w:sz w:val="32"/>
          <w:szCs w:val="32"/>
        </w:rPr>
        <w:t>%，较上年同期增长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45.8</w:t>
      </w:r>
      <w:r>
        <w:rPr>
          <w:rFonts w:hint="eastAsia" w:ascii="仿宋" w:hAnsi="仿宋" w:eastAsia="仿宋"/>
          <w:color w:val="auto"/>
          <w:sz w:val="32"/>
          <w:szCs w:val="32"/>
        </w:rPr>
        <w:t>6%，增收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5239</w:t>
      </w:r>
      <w:r>
        <w:rPr>
          <w:rFonts w:hint="eastAsia" w:ascii="仿宋" w:hAnsi="仿宋" w:eastAsia="仿宋"/>
          <w:color w:val="auto"/>
          <w:sz w:val="32"/>
          <w:szCs w:val="32"/>
        </w:rPr>
        <w:t>万元，占一般公共预算收入的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39.02</w:t>
      </w:r>
      <w:r>
        <w:rPr>
          <w:rFonts w:hint="eastAsia" w:ascii="仿宋" w:hAnsi="仿宋" w:eastAsia="仿宋"/>
          <w:color w:val="auto"/>
          <w:sz w:val="32"/>
          <w:szCs w:val="32"/>
        </w:rPr>
        <w:t>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rPr>
          <w:rFonts w:ascii="仿宋" w:hAnsi="仿宋" w:eastAsia="仿宋"/>
          <w:b/>
          <w:color w:val="auto"/>
          <w:kern w:val="0"/>
          <w:sz w:val="32"/>
          <w:szCs w:val="32"/>
        </w:rPr>
      </w:pPr>
      <w:r>
        <w:rPr>
          <w:rFonts w:hint="eastAsia" w:ascii="仿宋" w:hAnsi="仿宋" w:eastAsia="仿宋"/>
          <w:b/>
          <w:color w:val="auto"/>
          <w:kern w:val="0"/>
          <w:sz w:val="32"/>
          <w:szCs w:val="32"/>
        </w:rPr>
        <w:t>一般公共预算收入主要项目完成情况：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在经济持续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稳定恢复</w:t>
      </w:r>
      <w:r>
        <w:rPr>
          <w:rFonts w:hint="eastAsia" w:ascii="仿宋" w:hAnsi="仿宋" w:eastAsia="仿宋"/>
          <w:color w:val="auto"/>
          <w:sz w:val="32"/>
          <w:szCs w:val="32"/>
        </w:rPr>
        <w:t>、部分原材料价格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上</w:t>
      </w:r>
      <w:r>
        <w:rPr>
          <w:rFonts w:hint="eastAsia" w:ascii="仿宋" w:hAnsi="仿宋" w:eastAsia="仿宋"/>
          <w:color w:val="auto"/>
          <w:sz w:val="32"/>
          <w:szCs w:val="32"/>
        </w:rPr>
        <w:t>涨等因素推动下，我县税收收入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实现小幅增长</w:t>
      </w:r>
      <w:r>
        <w:rPr>
          <w:rFonts w:hint="eastAsia" w:ascii="仿宋" w:hAnsi="仿宋" w:eastAsia="仿宋"/>
          <w:color w:val="auto"/>
          <w:sz w:val="32"/>
          <w:szCs w:val="32"/>
        </w:rPr>
        <w:t>。从主要税种看，除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个人所得</w:t>
      </w:r>
      <w:r>
        <w:rPr>
          <w:rFonts w:hint="eastAsia" w:ascii="仿宋" w:hAnsi="仿宋" w:eastAsia="仿宋"/>
          <w:color w:val="auto"/>
          <w:sz w:val="32"/>
          <w:szCs w:val="32"/>
        </w:rPr>
        <w:t>税、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房产</w:t>
      </w:r>
      <w:r>
        <w:rPr>
          <w:rFonts w:hint="eastAsia" w:ascii="仿宋" w:hAnsi="仿宋" w:eastAsia="仿宋"/>
          <w:color w:val="auto"/>
          <w:sz w:val="32"/>
          <w:szCs w:val="32"/>
        </w:rPr>
        <w:t>税、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城镇土地使用税、车船税、</w:t>
      </w:r>
      <w:r>
        <w:rPr>
          <w:rFonts w:hint="eastAsia" w:ascii="仿宋" w:hAnsi="仿宋" w:eastAsia="仿宋"/>
          <w:color w:val="auto"/>
          <w:sz w:val="32"/>
          <w:szCs w:val="32"/>
        </w:rPr>
        <w:t>耕地占用税外其他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六</w:t>
      </w:r>
      <w:r>
        <w:rPr>
          <w:rFonts w:hint="eastAsia" w:ascii="仿宋" w:hAnsi="仿宋" w:eastAsia="仿宋"/>
          <w:color w:val="auto"/>
          <w:sz w:val="32"/>
          <w:szCs w:val="32"/>
        </w:rPr>
        <w:t>个税种均呈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增长</w:t>
      </w:r>
      <w:r>
        <w:rPr>
          <w:rFonts w:hint="eastAsia" w:ascii="仿宋" w:hAnsi="仿宋" w:eastAsia="仿宋"/>
          <w:color w:val="auto"/>
          <w:sz w:val="32"/>
          <w:szCs w:val="32"/>
        </w:rPr>
        <w:t>态势。</w:t>
      </w:r>
    </w:p>
    <w:tbl>
      <w:tblPr>
        <w:tblW w:w="894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4"/>
        <w:gridCol w:w="2124"/>
        <w:gridCol w:w="1860"/>
        <w:gridCol w:w="217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tblHeader/>
          <w:jc w:val="center"/>
        </w:trPr>
        <w:tc>
          <w:tcPr>
            <w:tcW w:w="2784" w:type="dxa"/>
            <w:tcBorders>
              <w:top w:val="nil"/>
              <w:left w:val="nil"/>
              <w:bottom w:val="single" w:color="FFFFFF" w:sz="12" w:space="0"/>
              <w:right w:val="single" w:color="FFFFFF" w:sz="8" w:space="0"/>
            </w:tcBorders>
            <w:shd w:val="clear" w:color="auto" w:fill="4BACC6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主要收入项目</w:t>
            </w:r>
          </w:p>
        </w:tc>
        <w:tc>
          <w:tcPr>
            <w:tcW w:w="2124" w:type="dxa"/>
            <w:tcBorders>
              <w:top w:val="nil"/>
              <w:left w:val="nil"/>
              <w:bottom w:val="single" w:color="FFFFFF" w:sz="12" w:space="0"/>
              <w:right w:val="single" w:color="FFFFFF" w:sz="8" w:space="0"/>
            </w:tcBorders>
            <w:shd w:val="clear" w:color="auto" w:fill="4BACC6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收入（万元）</w:t>
            </w:r>
          </w:p>
        </w:tc>
        <w:tc>
          <w:tcPr>
            <w:tcW w:w="1860" w:type="dxa"/>
            <w:tcBorders>
              <w:top w:val="nil"/>
              <w:left w:val="nil"/>
              <w:bottom w:val="single" w:color="FFFFFF" w:sz="12" w:space="0"/>
              <w:right w:val="single" w:color="FFFFFF" w:sz="8" w:space="0"/>
            </w:tcBorders>
            <w:shd w:val="clear" w:color="auto" w:fill="4BACC6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同比增减额</w:t>
            </w:r>
          </w:p>
        </w:tc>
        <w:tc>
          <w:tcPr>
            <w:tcW w:w="2172" w:type="dxa"/>
            <w:tcBorders>
              <w:top w:val="nil"/>
              <w:left w:val="nil"/>
              <w:bottom w:val="single" w:color="FFFFFF" w:sz="12" w:space="0"/>
              <w:right w:val="nil"/>
            </w:tcBorders>
            <w:shd w:val="clear" w:color="auto" w:fill="4BACC6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同比增长（</w:t>
            </w:r>
            <w:r>
              <w:rPr>
                <w:rStyle w:val="9"/>
                <w:color w:val="auto"/>
                <w:bdr w:val="none" w:color="auto" w:sz="0" w:space="0"/>
                <w:lang w:val="en-US" w:eastAsia="zh-CN" w:bidi="ar"/>
              </w:rPr>
              <w:t>%）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2784" w:type="dxa"/>
            <w:tcBorders>
              <w:top w:val="nil"/>
              <w:left w:val="nil"/>
              <w:bottom w:val="single" w:color="FFFFFF" w:sz="8" w:space="0"/>
              <w:right w:val="single" w:color="FFFFFF" w:sz="8" w:space="0"/>
            </w:tcBorders>
            <w:shd w:val="clear" w:color="auto" w:fill="B6DDE8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 </w:t>
            </w:r>
            <w:r>
              <w:rPr>
                <w:rStyle w:val="9"/>
                <w:color w:val="auto"/>
                <w:bdr w:val="none" w:color="auto" w:sz="0" w:space="0"/>
                <w:lang w:val="en-US" w:eastAsia="zh-CN" w:bidi="ar"/>
              </w:rPr>
              <w:t>（一）税收收入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FFFFFF" w:sz="8" w:space="0"/>
              <w:right w:val="single" w:color="FFFFFF" w:sz="8" w:space="0"/>
            </w:tcBorders>
            <w:shd w:val="clear" w:color="auto" w:fill="B6DDE8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26,043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FFFFFF" w:sz="8" w:space="0"/>
              <w:right w:val="single" w:color="FFFFFF" w:sz="8" w:space="0"/>
            </w:tcBorders>
            <w:shd w:val="clear" w:color="auto" w:fill="B6DDE8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3,219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FFFFFF" w:sz="8" w:space="0"/>
              <w:right w:val="nil"/>
            </w:tcBorders>
            <w:shd w:val="clear" w:color="auto" w:fill="B6DDE8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14.10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0" w:type="auto"/>
            <w:tcBorders>
              <w:top w:val="nil"/>
              <w:left w:val="nil"/>
              <w:bottom w:val="single" w:color="FFFFFF" w:sz="8" w:space="0"/>
              <w:right w:val="single" w:color="FFFFFF" w:sz="8" w:space="0"/>
            </w:tcBorders>
            <w:shd w:val="clear" w:color="auto" w:fill="DBEEF3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      </w:t>
            </w:r>
            <w:r>
              <w:rPr>
                <w:rStyle w:val="10"/>
                <w:color w:val="auto"/>
                <w:bdr w:val="none" w:color="auto" w:sz="0" w:space="0"/>
                <w:lang w:val="en-US" w:eastAsia="zh-CN" w:bidi="ar"/>
              </w:rPr>
              <w:t>国内增值税</w:t>
            </w:r>
          </w:p>
        </w:tc>
        <w:tc>
          <w:tcPr>
            <w:tcW w:w="2124" w:type="dxa"/>
            <w:tcBorders>
              <w:top w:val="nil"/>
              <w:left w:val="nil"/>
              <w:bottom w:val="single" w:color="FFFFFF" w:sz="8" w:space="0"/>
              <w:right w:val="single" w:color="FFFFFF" w:sz="8" w:space="0"/>
            </w:tcBorders>
            <w:shd w:val="clear" w:color="auto" w:fill="DBEEF3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12,901</w:t>
            </w:r>
          </w:p>
        </w:tc>
        <w:tc>
          <w:tcPr>
            <w:tcW w:w="1860" w:type="dxa"/>
            <w:tcBorders>
              <w:top w:val="nil"/>
              <w:left w:val="nil"/>
              <w:bottom w:val="single" w:color="FFFFFF" w:sz="8" w:space="0"/>
              <w:right w:val="single" w:color="FFFFFF" w:sz="8" w:space="0"/>
            </w:tcBorders>
            <w:shd w:val="clear" w:color="auto" w:fill="DBEEF3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1,620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FFFFFF" w:sz="8" w:space="0"/>
              <w:right w:val="nil"/>
            </w:tcBorders>
            <w:shd w:val="clear" w:color="auto" w:fill="DBEEF3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14.36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0" w:type="auto"/>
            <w:tcBorders>
              <w:top w:val="nil"/>
              <w:left w:val="nil"/>
              <w:bottom w:val="single" w:color="FFFFFF" w:sz="8" w:space="0"/>
              <w:right w:val="single" w:color="FFFFFF" w:sz="8" w:space="0"/>
            </w:tcBorders>
            <w:shd w:val="clear" w:color="auto" w:fill="B6DDE8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      </w:t>
            </w:r>
            <w:r>
              <w:rPr>
                <w:rStyle w:val="10"/>
                <w:color w:val="auto"/>
                <w:bdr w:val="none" w:color="auto" w:sz="0" w:space="0"/>
                <w:lang w:val="en-US" w:eastAsia="zh-CN" w:bidi="ar"/>
              </w:rPr>
              <w:t>企业所得税（40%）</w:t>
            </w:r>
          </w:p>
        </w:tc>
        <w:tc>
          <w:tcPr>
            <w:tcW w:w="2124" w:type="dxa"/>
            <w:tcBorders>
              <w:top w:val="nil"/>
              <w:left w:val="nil"/>
              <w:bottom w:val="single" w:color="FFFFFF" w:sz="8" w:space="0"/>
              <w:right w:val="single" w:color="FFFFFF" w:sz="8" w:space="0"/>
            </w:tcBorders>
            <w:shd w:val="clear" w:color="auto" w:fill="B6DDE8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3,076</w:t>
            </w:r>
          </w:p>
        </w:tc>
        <w:tc>
          <w:tcPr>
            <w:tcW w:w="1860" w:type="dxa"/>
            <w:tcBorders>
              <w:top w:val="nil"/>
              <w:left w:val="nil"/>
              <w:bottom w:val="single" w:color="FFFFFF" w:sz="8" w:space="0"/>
              <w:right w:val="single" w:color="FFFFFF" w:sz="8" w:space="0"/>
            </w:tcBorders>
            <w:shd w:val="clear" w:color="auto" w:fill="B6DDE8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867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FFFFFF" w:sz="8" w:space="0"/>
              <w:right w:val="nil"/>
            </w:tcBorders>
            <w:shd w:val="clear" w:color="auto" w:fill="B6DDE8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39.25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0" w:type="auto"/>
            <w:tcBorders>
              <w:top w:val="nil"/>
              <w:left w:val="nil"/>
              <w:bottom w:val="single" w:color="FFFFFF" w:sz="8" w:space="0"/>
              <w:right w:val="single" w:color="FFFFFF" w:sz="8" w:space="0"/>
            </w:tcBorders>
            <w:shd w:val="clear" w:color="auto" w:fill="DBEEF3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      </w:t>
            </w:r>
            <w:r>
              <w:rPr>
                <w:rStyle w:val="10"/>
                <w:color w:val="auto"/>
                <w:bdr w:val="none" w:color="auto" w:sz="0" w:space="0"/>
                <w:lang w:val="en-US" w:eastAsia="zh-CN" w:bidi="ar"/>
              </w:rPr>
              <w:t>个人所得税（40%）</w:t>
            </w:r>
          </w:p>
        </w:tc>
        <w:tc>
          <w:tcPr>
            <w:tcW w:w="2124" w:type="dxa"/>
            <w:tcBorders>
              <w:top w:val="nil"/>
              <w:left w:val="nil"/>
              <w:bottom w:val="single" w:color="FFFFFF" w:sz="8" w:space="0"/>
              <w:right w:val="single" w:color="FFFFFF" w:sz="8" w:space="0"/>
            </w:tcBorders>
            <w:shd w:val="clear" w:color="auto" w:fill="DBEEF3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559</w:t>
            </w:r>
          </w:p>
        </w:tc>
        <w:tc>
          <w:tcPr>
            <w:tcW w:w="1860" w:type="dxa"/>
            <w:tcBorders>
              <w:top w:val="nil"/>
              <w:left w:val="nil"/>
              <w:bottom w:val="single" w:color="FFFFFF" w:sz="8" w:space="0"/>
              <w:right w:val="single" w:color="FFFFFF" w:sz="8" w:space="0"/>
            </w:tcBorders>
            <w:shd w:val="clear" w:color="auto" w:fill="DBEEF3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FFFFFF" w:sz="8" w:space="0"/>
              <w:right w:val="nil"/>
            </w:tcBorders>
            <w:shd w:val="clear" w:color="auto" w:fill="DBEEF3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-4.77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0" w:type="auto"/>
            <w:tcBorders>
              <w:top w:val="nil"/>
              <w:left w:val="nil"/>
              <w:bottom w:val="single" w:color="FFFFFF" w:sz="8" w:space="0"/>
              <w:right w:val="single" w:color="FFFFFF" w:sz="8" w:space="0"/>
            </w:tcBorders>
            <w:shd w:val="clear" w:color="auto" w:fill="B6DDE8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      </w:t>
            </w:r>
            <w:r>
              <w:rPr>
                <w:rStyle w:val="10"/>
                <w:color w:val="auto"/>
                <w:bdr w:val="none" w:color="auto" w:sz="0" w:space="0"/>
                <w:lang w:val="en-US" w:eastAsia="zh-CN" w:bidi="ar"/>
              </w:rPr>
              <w:t>资源税</w:t>
            </w:r>
          </w:p>
        </w:tc>
        <w:tc>
          <w:tcPr>
            <w:tcW w:w="2124" w:type="dxa"/>
            <w:tcBorders>
              <w:top w:val="nil"/>
              <w:left w:val="nil"/>
              <w:bottom w:val="single" w:color="FFFFFF" w:sz="8" w:space="0"/>
              <w:right w:val="single" w:color="FFFFFF" w:sz="8" w:space="0"/>
            </w:tcBorders>
            <w:shd w:val="clear" w:color="auto" w:fill="B6DDE8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2127</w:t>
            </w:r>
          </w:p>
        </w:tc>
        <w:tc>
          <w:tcPr>
            <w:tcW w:w="1860" w:type="dxa"/>
            <w:tcBorders>
              <w:top w:val="nil"/>
              <w:left w:val="nil"/>
              <w:bottom w:val="single" w:color="FFFFFF" w:sz="8" w:space="0"/>
              <w:right w:val="single" w:color="FFFFFF" w:sz="8" w:space="0"/>
            </w:tcBorders>
            <w:shd w:val="clear" w:color="auto" w:fill="B6DDE8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FFFFFF" w:sz="8" w:space="0"/>
              <w:right w:val="nil"/>
            </w:tcBorders>
            <w:shd w:val="clear" w:color="auto" w:fill="B6DDE8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96.94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0" w:type="auto"/>
            <w:tcBorders>
              <w:top w:val="nil"/>
              <w:left w:val="nil"/>
              <w:bottom w:val="single" w:color="FFFFFF" w:sz="8" w:space="0"/>
              <w:right w:val="single" w:color="FFFFFF" w:sz="8" w:space="0"/>
            </w:tcBorders>
            <w:shd w:val="clear" w:color="auto" w:fill="DBEEF3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      </w:t>
            </w:r>
            <w:r>
              <w:rPr>
                <w:rStyle w:val="10"/>
                <w:color w:val="auto"/>
                <w:bdr w:val="none" w:color="auto" w:sz="0" w:space="0"/>
                <w:lang w:val="en-US" w:eastAsia="zh-CN" w:bidi="ar"/>
              </w:rPr>
              <w:t>城市维护建设税</w:t>
            </w:r>
          </w:p>
        </w:tc>
        <w:tc>
          <w:tcPr>
            <w:tcW w:w="2124" w:type="dxa"/>
            <w:tcBorders>
              <w:top w:val="nil"/>
              <w:left w:val="nil"/>
              <w:bottom w:val="single" w:color="FFFFFF" w:sz="8" w:space="0"/>
              <w:right w:val="single" w:color="FFFFFF" w:sz="8" w:space="0"/>
            </w:tcBorders>
            <w:shd w:val="clear" w:color="auto" w:fill="DBEEF3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798</w:t>
            </w:r>
          </w:p>
        </w:tc>
        <w:tc>
          <w:tcPr>
            <w:tcW w:w="1860" w:type="dxa"/>
            <w:tcBorders>
              <w:top w:val="nil"/>
              <w:left w:val="nil"/>
              <w:bottom w:val="single" w:color="FFFFFF" w:sz="8" w:space="0"/>
              <w:right w:val="single" w:color="FFFFFF" w:sz="8" w:space="0"/>
            </w:tcBorders>
            <w:shd w:val="clear" w:color="auto" w:fill="DBEEF3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FFFFFF" w:sz="8" w:space="0"/>
              <w:right w:val="nil"/>
            </w:tcBorders>
            <w:shd w:val="clear" w:color="auto" w:fill="DBEEF3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36.88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0" w:type="auto"/>
            <w:tcBorders>
              <w:top w:val="nil"/>
              <w:left w:val="nil"/>
              <w:bottom w:val="single" w:color="FFFFFF" w:sz="8" w:space="0"/>
              <w:right w:val="single" w:color="FFFFFF" w:sz="8" w:space="0"/>
            </w:tcBorders>
            <w:shd w:val="clear" w:color="auto" w:fill="B6DDE8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      </w:t>
            </w:r>
            <w:r>
              <w:rPr>
                <w:rStyle w:val="10"/>
                <w:color w:val="auto"/>
                <w:bdr w:val="none" w:color="auto" w:sz="0" w:space="0"/>
                <w:lang w:val="en-US" w:eastAsia="zh-CN" w:bidi="ar"/>
              </w:rPr>
              <w:t>房产税</w:t>
            </w:r>
          </w:p>
        </w:tc>
        <w:tc>
          <w:tcPr>
            <w:tcW w:w="2124" w:type="dxa"/>
            <w:tcBorders>
              <w:top w:val="nil"/>
              <w:left w:val="nil"/>
              <w:bottom w:val="single" w:color="FFFFFF" w:sz="8" w:space="0"/>
              <w:right w:val="single" w:color="FFFFFF" w:sz="8" w:space="0"/>
            </w:tcBorders>
            <w:shd w:val="clear" w:color="auto" w:fill="B6DDE8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535</w:t>
            </w:r>
          </w:p>
        </w:tc>
        <w:tc>
          <w:tcPr>
            <w:tcW w:w="1860" w:type="dxa"/>
            <w:tcBorders>
              <w:top w:val="nil"/>
              <w:left w:val="nil"/>
              <w:bottom w:val="single" w:color="FFFFFF" w:sz="8" w:space="0"/>
              <w:right w:val="single" w:color="FFFFFF" w:sz="8" w:space="0"/>
            </w:tcBorders>
            <w:shd w:val="clear" w:color="auto" w:fill="B6DDE8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FFFFFF" w:sz="8" w:space="0"/>
              <w:right w:val="nil"/>
            </w:tcBorders>
            <w:shd w:val="clear" w:color="auto" w:fill="B6DDE8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-1.83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0" w:type="auto"/>
            <w:tcBorders>
              <w:top w:val="nil"/>
              <w:left w:val="nil"/>
              <w:bottom w:val="single" w:color="FFFFFF" w:sz="8" w:space="0"/>
              <w:right w:val="single" w:color="FFFFFF" w:sz="8" w:space="0"/>
            </w:tcBorders>
            <w:shd w:val="clear" w:color="auto" w:fill="DBEEF3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      </w:t>
            </w:r>
            <w:r>
              <w:rPr>
                <w:rStyle w:val="10"/>
                <w:color w:val="auto"/>
                <w:bdr w:val="none" w:color="auto" w:sz="0" w:space="0"/>
                <w:lang w:val="en-US" w:eastAsia="zh-CN" w:bidi="ar"/>
              </w:rPr>
              <w:t>印花税</w:t>
            </w:r>
          </w:p>
        </w:tc>
        <w:tc>
          <w:tcPr>
            <w:tcW w:w="2124" w:type="dxa"/>
            <w:tcBorders>
              <w:top w:val="nil"/>
              <w:left w:val="nil"/>
              <w:bottom w:val="single" w:color="FFFFFF" w:sz="8" w:space="0"/>
              <w:right w:val="single" w:color="FFFFFF" w:sz="8" w:space="0"/>
            </w:tcBorders>
            <w:shd w:val="clear" w:color="auto" w:fill="DBEEF3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450</w:t>
            </w:r>
          </w:p>
        </w:tc>
        <w:tc>
          <w:tcPr>
            <w:tcW w:w="1860" w:type="dxa"/>
            <w:tcBorders>
              <w:top w:val="nil"/>
              <w:left w:val="nil"/>
              <w:bottom w:val="single" w:color="FFFFFF" w:sz="8" w:space="0"/>
              <w:right w:val="single" w:color="FFFFFF" w:sz="8" w:space="0"/>
            </w:tcBorders>
            <w:shd w:val="clear" w:color="auto" w:fill="DBEEF3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FFFFFF" w:sz="8" w:space="0"/>
              <w:right w:val="nil"/>
            </w:tcBorders>
            <w:shd w:val="clear" w:color="auto" w:fill="DBEEF3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46.10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0" w:type="auto"/>
            <w:tcBorders>
              <w:top w:val="nil"/>
              <w:left w:val="nil"/>
              <w:bottom w:val="single" w:color="FFFFFF" w:sz="8" w:space="0"/>
              <w:right w:val="single" w:color="FFFFFF" w:sz="8" w:space="0"/>
            </w:tcBorders>
            <w:shd w:val="clear" w:color="auto" w:fill="B6DDE8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      </w:t>
            </w:r>
            <w:r>
              <w:rPr>
                <w:rStyle w:val="10"/>
                <w:color w:val="auto"/>
                <w:bdr w:val="none" w:color="auto" w:sz="0" w:space="0"/>
                <w:lang w:val="en-US" w:eastAsia="zh-CN" w:bidi="ar"/>
              </w:rPr>
              <w:t>城镇土地使用税</w:t>
            </w:r>
          </w:p>
        </w:tc>
        <w:tc>
          <w:tcPr>
            <w:tcW w:w="2124" w:type="dxa"/>
            <w:tcBorders>
              <w:top w:val="nil"/>
              <w:left w:val="nil"/>
              <w:bottom w:val="single" w:color="FFFFFF" w:sz="8" w:space="0"/>
              <w:right w:val="single" w:color="FFFFFF" w:sz="8" w:space="0"/>
            </w:tcBorders>
            <w:shd w:val="clear" w:color="auto" w:fill="B6DDE8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352</w:t>
            </w:r>
          </w:p>
        </w:tc>
        <w:tc>
          <w:tcPr>
            <w:tcW w:w="1860" w:type="dxa"/>
            <w:tcBorders>
              <w:top w:val="nil"/>
              <w:left w:val="nil"/>
              <w:bottom w:val="single" w:color="FFFFFF" w:sz="8" w:space="0"/>
              <w:right w:val="single" w:color="FFFFFF" w:sz="8" w:space="0"/>
            </w:tcBorders>
            <w:shd w:val="clear" w:color="auto" w:fill="B6DDE8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FFFFFF" w:sz="8" w:space="0"/>
              <w:right w:val="nil"/>
            </w:tcBorders>
            <w:shd w:val="clear" w:color="auto" w:fill="B6DDE8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-0.28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0" w:type="auto"/>
            <w:tcBorders>
              <w:top w:val="nil"/>
              <w:left w:val="nil"/>
              <w:bottom w:val="single" w:color="FFFFFF" w:sz="8" w:space="0"/>
              <w:right w:val="single" w:color="FFFFFF" w:sz="8" w:space="0"/>
            </w:tcBorders>
            <w:shd w:val="clear" w:color="auto" w:fill="DBEEF3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      </w:t>
            </w:r>
            <w:r>
              <w:rPr>
                <w:rStyle w:val="10"/>
                <w:color w:val="auto"/>
                <w:bdr w:val="none" w:color="auto" w:sz="0" w:space="0"/>
                <w:lang w:val="en-US" w:eastAsia="zh-CN" w:bidi="ar"/>
              </w:rPr>
              <w:t>土地增值税</w:t>
            </w:r>
          </w:p>
        </w:tc>
        <w:tc>
          <w:tcPr>
            <w:tcW w:w="2124" w:type="dxa"/>
            <w:tcBorders>
              <w:top w:val="nil"/>
              <w:left w:val="nil"/>
              <w:bottom w:val="single" w:color="FFFFFF" w:sz="8" w:space="0"/>
              <w:right w:val="single" w:color="FFFFFF" w:sz="8" w:space="0"/>
            </w:tcBorders>
            <w:shd w:val="clear" w:color="auto" w:fill="DBEEF3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350</w:t>
            </w:r>
          </w:p>
        </w:tc>
        <w:tc>
          <w:tcPr>
            <w:tcW w:w="1860" w:type="dxa"/>
            <w:tcBorders>
              <w:top w:val="nil"/>
              <w:left w:val="nil"/>
              <w:bottom w:val="single" w:color="FFFFFF" w:sz="8" w:space="0"/>
              <w:right w:val="single" w:color="FFFFFF" w:sz="8" w:space="0"/>
            </w:tcBorders>
            <w:shd w:val="clear" w:color="auto" w:fill="DBEEF3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FFFFFF" w:sz="8" w:space="0"/>
              <w:right w:val="nil"/>
            </w:tcBorders>
            <w:shd w:val="clear" w:color="auto" w:fill="DBEEF3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49.57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0" w:type="auto"/>
            <w:tcBorders>
              <w:top w:val="nil"/>
              <w:left w:val="nil"/>
              <w:bottom w:val="single" w:color="FFFFFF" w:sz="8" w:space="0"/>
              <w:right w:val="single" w:color="FFFFFF" w:sz="8" w:space="0"/>
            </w:tcBorders>
            <w:shd w:val="clear" w:color="auto" w:fill="B6DDE8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      </w:t>
            </w:r>
            <w:r>
              <w:rPr>
                <w:rStyle w:val="10"/>
                <w:color w:val="auto"/>
                <w:bdr w:val="none" w:color="auto" w:sz="0" w:space="0"/>
                <w:lang w:val="en-US" w:eastAsia="zh-CN" w:bidi="ar"/>
              </w:rPr>
              <w:t>车船税</w:t>
            </w:r>
          </w:p>
        </w:tc>
        <w:tc>
          <w:tcPr>
            <w:tcW w:w="2124" w:type="dxa"/>
            <w:tcBorders>
              <w:top w:val="nil"/>
              <w:left w:val="nil"/>
              <w:bottom w:val="single" w:color="FFFFFF" w:sz="8" w:space="0"/>
              <w:right w:val="single" w:color="FFFFFF" w:sz="8" w:space="0"/>
            </w:tcBorders>
            <w:shd w:val="clear" w:color="auto" w:fill="B6DDE8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556</w:t>
            </w:r>
          </w:p>
        </w:tc>
        <w:tc>
          <w:tcPr>
            <w:tcW w:w="1860" w:type="dxa"/>
            <w:tcBorders>
              <w:top w:val="nil"/>
              <w:left w:val="nil"/>
              <w:bottom w:val="single" w:color="FFFFFF" w:sz="8" w:space="0"/>
              <w:right w:val="single" w:color="FFFFFF" w:sz="8" w:space="0"/>
            </w:tcBorders>
            <w:shd w:val="clear" w:color="auto" w:fill="B6DDE8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FFFFFF" w:sz="8" w:space="0"/>
              <w:right w:val="nil"/>
            </w:tcBorders>
            <w:shd w:val="clear" w:color="auto" w:fill="B6DDE8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-5.28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0" w:type="auto"/>
            <w:tcBorders>
              <w:top w:val="nil"/>
              <w:left w:val="nil"/>
              <w:bottom w:val="single" w:color="FFFFFF" w:sz="8" w:space="0"/>
              <w:right w:val="single" w:color="FFFFFF" w:sz="8" w:space="0"/>
            </w:tcBorders>
            <w:shd w:val="clear" w:color="auto" w:fill="DBEEF3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      </w:t>
            </w:r>
            <w:r>
              <w:rPr>
                <w:rStyle w:val="10"/>
                <w:color w:val="auto"/>
                <w:bdr w:val="none" w:color="auto" w:sz="0" w:space="0"/>
                <w:lang w:val="en-US" w:eastAsia="zh-CN" w:bidi="ar"/>
              </w:rPr>
              <w:t>耕地占用税</w:t>
            </w:r>
          </w:p>
        </w:tc>
        <w:tc>
          <w:tcPr>
            <w:tcW w:w="2124" w:type="dxa"/>
            <w:tcBorders>
              <w:top w:val="nil"/>
              <w:left w:val="nil"/>
              <w:bottom w:val="single" w:color="FFFFFF" w:sz="8" w:space="0"/>
              <w:right w:val="single" w:color="FFFFFF" w:sz="8" w:space="0"/>
            </w:tcBorders>
            <w:shd w:val="clear" w:color="auto" w:fill="DBEEF3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2,709</w:t>
            </w:r>
          </w:p>
        </w:tc>
        <w:tc>
          <w:tcPr>
            <w:tcW w:w="1860" w:type="dxa"/>
            <w:tcBorders>
              <w:top w:val="nil"/>
              <w:left w:val="nil"/>
              <w:bottom w:val="single" w:color="FFFFFF" w:sz="8" w:space="0"/>
              <w:right w:val="single" w:color="FFFFFF" w:sz="8" w:space="0"/>
            </w:tcBorders>
            <w:shd w:val="clear" w:color="auto" w:fill="DBEEF3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-1470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FFFFFF" w:sz="8" w:space="0"/>
              <w:right w:val="nil"/>
            </w:tcBorders>
            <w:shd w:val="clear" w:color="auto" w:fill="DBEEF3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-35.18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0" w:type="auto"/>
            <w:tcBorders>
              <w:top w:val="nil"/>
              <w:left w:val="nil"/>
              <w:bottom w:val="single" w:color="FFFFFF" w:sz="8" w:space="0"/>
              <w:right w:val="single" w:color="FFFFFF" w:sz="8" w:space="0"/>
            </w:tcBorders>
            <w:shd w:val="clear" w:color="auto" w:fill="B6DDE8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      </w:t>
            </w:r>
            <w:r>
              <w:rPr>
                <w:rStyle w:val="10"/>
                <w:color w:val="auto"/>
                <w:bdr w:val="none" w:color="auto" w:sz="0" w:space="0"/>
                <w:lang w:val="en-US" w:eastAsia="zh-CN" w:bidi="ar"/>
              </w:rPr>
              <w:t>契税</w:t>
            </w:r>
          </w:p>
        </w:tc>
        <w:tc>
          <w:tcPr>
            <w:tcW w:w="2124" w:type="dxa"/>
            <w:tcBorders>
              <w:top w:val="nil"/>
              <w:left w:val="nil"/>
              <w:bottom w:val="single" w:color="FFFFFF" w:sz="8" w:space="0"/>
              <w:right w:val="single" w:color="FFFFFF" w:sz="8" w:space="0"/>
            </w:tcBorders>
            <w:shd w:val="clear" w:color="auto" w:fill="B6DDE8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1630</w:t>
            </w:r>
          </w:p>
        </w:tc>
        <w:tc>
          <w:tcPr>
            <w:tcW w:w="1860" w:type="dxa"/>
            <w:tcBorders>
              <w:top w:val="nil"/>
              <w:left w:val="nil"/>
              <w:bottom w:val="single" w:color="FFFFFF" w:sz="8" w:space="0"/>
              <w:right w:val="single" w:color="FFFFFF" w:sz="8" w:space="0"/>
            </w:tcBorders>
            <w:shd w:val="clear" w:color="auto" w:fill="B6DDE8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752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FFFFFF" w:sz="8" w:space="0"/>
              <w:right w:val="nil"/>
            </w:tcBorders>
            <w:shd w:val="clear" w:color="auto" w:fill="B6DDE8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85.65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color="FFFFFF" w:sz="8" w:space="0"/>
            </w:tcBorders>
            <w:shd w:val="clear" w:color="auto" w:fill="DBEEF3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 </w:t>
            </w:r>
            <w:r>
              <w:rPr>
                <w:rStyle w:val="9"/>
                <w:color w:val="auto"/>
                <w:bdr w:val="none" w:color="auto" w:sz="0" w:space="0"/>
                <w:lang w:val="en-US" w:eastAsia="zh-CN" w:bidi="ar"/>
              </w:rPr>
              <w:t>（二）非税收入</w:t>
            </w: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single" w:color="FFFFFF" w:sz="8" w:space="0"/>
            </w:tcBorders>
            <w:shd w:val="clear" w:color="auto" w:fill="DBEEF3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16,664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color="FFFFFF" w:sz="8" w:space="0"/>
            </w:tcBorders>
            <w:shd w:val="clear" w:color="auto" w:fill="DBEEF3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5,239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BEEF3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45.86 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1、增值税累计入库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12901</w:t>
      </w:r>
      <w:r>
        <w:rPr>
          <w:rFonts w:hint="eastAsia" w:ascii="仿宋" w:hAnsi="仿宋" w:eastAsia="仿宋"/>
          <w:color w:val="auto"/>
          <w:sz w:val="32"/>
          <w:szCs w:val="32"/>
        </w:rPr>
        <w:t>万元，同比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增</w:t>
      </w:r>
      <w:r>
        <w:rPr>
          <w:rFonts w:hint="eastAsia" w:ascii="仿宋" w:hAnsi="仿宋" w:eastAsia="仿宋"/>
          <w:color w:val="auto"/>
          <w:sz w:val="32"/>
          <w:szCs w:val="32"/>
        </w:rPr>
        <w:t>收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1620</w:t>
      </w:r>
      <w:r>
        <w:rPr>
          <w:rFonts w:hint="eastAsia" w:ascii="仿宋" w:hAnsi="仿宋" w:eastAsia="仿宋"/>
          <w:color w:val="auto"/>
          <w:sz w:val="32"/>
          <w:szCs w:val="32"/>
        </w:rPr>
        <w:t>万元，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增长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14.36</w:t>
      </w:r>
      <w:r>
        <w:rPr>
          <w:rFonts w:hint="eastAsia" w:ascii="仿宋" w:hAnsi="仿宋" w:eastAsia="仿宋"/>
          <w:color w:val="auto"/>
          <w:sz w:val="32"/>
          <w:szCs w:val="32"/>
        </w:rPr>
        <w:t>%,占税收收入的49.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54</w:t>
      </w:r>
      <w:r>
        <w:rPr>
          <w:rFonts w:hint="eastAsia" w:ascii="仿宋" w:hAnsi="仿宋" w:eastAsia="仿宋"/>
          <w:color w:val="auto"/>
          <w:sz w:val="32"/>
          <w:szCs w:val="32"/>
        </w:rPr>
        <w:t>%，是税收收入中占比最大的一个税种，也是我县影响财政收入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增</w:t>
      </w:r>
      <w:r>
        <w:rPr>
          <w:rFonts w:hint="eastAsia" w:ascii="仿宋" w:hAnsi="仿宋" w:eastAsia="仿宋"/>
          <w:color w:val="auto"/>
          <w:sz w:val="32"/>
          <w:szCs w:val="32"/>
        </w:rPr>
        <w:t>收的主要因素。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rPr>
          <w:rFonts w:ascii="仿宋" w:hAnsi="仿宋" w:eastAsia="仿宋"/>
          <w:color w:val="auto"/>
          <w:kern w:val="0"/>
          <w:sz w:val="32"/>
          <w:szCs w:val="32"/>
        </w:rPr>
      </w:pPr>
      <w:r>
        <w:rPr>
          <w:rFonts w:ascii="仿宋" w:hAnsi="仿宋" w:eastAsia="仿宋"/>
          <w:b/>
          <w:color w:val="auto"/>
          <w:kern w:val="0"/>
          <w:sz w:val="32"/>
          <w:szCs w:val="32"/>
        </w:rPr>
        <w:t>电力、热力、燃气及水生产和供应业</w:t>
      </w:r>
      <w:r>
        <w:rPr>
          <w:rFonts w:hint="eastAsia" w:ascii="仿宋" w:hAnsi="仿宋" w:eastAsia="仿宋"/>
          <w:b/>
          <w:color w:val="auto"/>
          <w:kern w:val="0"/>
          <w:sz w:val="32"/>
          <w:szCs w:val="32"/>
        </w:rPr>
        <w:t>-</w:t>
      </w:r>
      <w:r>
        <w:rPr>
          <w:rFonts w:ascii="仿宋" w:hAnsi="仿宋" w:eastAsia="仿宋"/>
          <w:b/>
          <w:color w:val="auto"/>
          <w:kern w:val="0"/>
          <w:sz w:val="32"/>
          <w:szCs w:val="32"/>
        </w:rPr>
        <w:t>电力生产</w:t>
      </w:r>
      <w:r>
        <w:rPr>
          <w:rFonts w:hint="eastAsia" w:ascii="仿宋" w:hAnsi="仿宋" w:eastAsia="仿宋"/>
          <w:b/>
          <w:color w:val="auto"/>
          <w:kern w:val="0"/>
          <w:sz w:val="32"/>
          <w:szCs w:val="32"/>
        </w:rPr>
        <w:t>。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累计入库增值税</w:t>
      </w:r>
      <w:r>
        <w:rPr>
          <w:rFonts w:hint="eastAsia" w:ascii="仿宋" w:hAnsi="仿宋" w:eastAsia="仿宋"/>
          <w:color w:val="auto"/>
          <w:kern w:val="0"/>
          <w:sz w:val="32"/>
          <w:szCs w:val="32"/>
          <w:lang w:val="en-US" w:eastAsia="zh-CN"/>
        </w:rPr>
        <w:t>3523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万元</w:t>
      </w:r>
      <w:r>
        <w:rPr>
          <w:rFonts w:ascii="仿宋" w:hAnsi="仿宋" w:eastAsia="仿宋"/>
          <w:color w:val="auto"/>
          <w:kern w:val="0"/>
          <w:sz w:val="32"/>
          <w:szCs w:val="32"/>
        </w:rPr>
        <w:t>，同比减收</w:t>
      </w:r>
      <w:r>
        <w:rPr>
          <w:rFonts w:hint="eastAsia" w:ascii="仿宋" w:hAnsi="仿宋" w:eastAsia="仿宋"/>
          <w:color w:val="auto"/>
          <w:kern w:val="0"/>
          <w:sz w:val="32"/>
          <w:szCs w:val="32"/>
          <w:lang w:val="en-US" w:eastAsia="zh-CN"/>
        </w:rPr>
        <w:t>813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万元。主要减收税源</w:t>
      </w:r>
      <w:r>
        <w:rPr>
          <w:rFonts w:ascii="仿宋" w:hAnsi="仿宋" w:eastAsia="仿宋"/>
          <w:color w:val="auto"/>
          <w:kern w:val="0"/>
          <w:sz w:val="32"/>
          <w:szCs w:val="32"/>
        </w:rPr>
        <w:t>是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国电新疆吉林台水电开发有限公司</w:t>
      </w:r>
      <w:r>
        <w:rPr>
          <w:rFonts w:hint="eastAsia" w:ascii="仿宋" w:hAnsi="仿宋" w:eastAsia="仿宋"/>
          <w:color w:val="auto"/>
          <w:kern w:val="0"/>
          <w:sz w:val="32"/>
          <w:szCs w:val="32"/>
          <w:lang w:eastAsia="zh-CN"/>
        </w:rPr>
        <w:t>及所属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分公司，累计入库增值税</w:t>
      </w:r>
      <w:r>
        <w:rPr>
          <w:rFonts w:hint="eastAsia" w:ascii="仿宋" w:hAnsi="仿宋" w:eastAsia="仿宋"/>
          <w:color w:val="auto"/>
          <w:kern w:val="0"/>
          <w:sz w:val="32"/>
          <w:szCs w:val="32"/>
          <w:lang w:val="en-US" w:eastAsia="zh-CN"/>
        </w:rPr>
        <w:t>3295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万元</w:t>
      </w:r>
      <w:r>
        <w:rPr>
          <w:rFonts w:ascii="仿宋" w:hAnsi="仿宋" w:eastAsia="仿宋"/>
          <w:color w:val="auto"/>
          <w:kern w:val="0"/>
          <w:sz w:val="32"/>
          <w:szCs w:val="32"/>
        </w:rPr>
        <w:t>，同比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减</w:t>
      </w:r>
      <w:r>
        <w:rPr>
          <w:rFonts w:ascii="仿宋" w:hAnsi="仿宋" w:eastAsia="仿宋"/>
          <w:color w:val="auto"/>
          <w:kern w:val="0"/>
          <w:sz w:val="32"/>
          <w:szCs w:val="32"/>
        </w:rPr>
        <w:t>收</w:t>
      </w:r>
      <w:r>
        <w:rPr>
          <w:rFonts w:hint="eastAsia" w:ascii="仿宋" w:hAnsi="仿宋" w:eastAsia="仿宋"/>
          <w:color w:val="auto"/>
          <w:kern w:val="0"/>
          <w:sz w:val="32"/>
          <w:szCs w:val="32"/>
          <w:lang w:val="en-US" w:eastAsia="zh-CN"/>
        </w:rPr>
        <w:t>897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万元，减收的主要原因是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年度</w:t>
      </w:r>
      <w:r>
        <w:rPr>
          <w:rFonts w:hint="default" w:ascii="Times New Roman" w:hAnsi="Times New Roman" w:eastAsia="仿宋_GB2312" w:cs="Times New Roman"/>
          <w:b w:val="0"/>
          <w:bCs/>
          <w:color w:val="auto"/>
          <w:sz w:val="32"/>
          <w:szCs w:val="32"/>
          <w:highlight w:val="none"/>
          <w:lang w:val="en-US" w:eastAsia="zh-CN"/>
        </w:rPr>
        <w:t>降水量普遍较低，最低水位达1385.5m,年度最高水位仅为1404.57m,比正常水位1420m低15.43m</w:t>
      </w:r>
      <w:r>
        <w:rPr>
          <w:rFonts w:hint="eastAsia" w:ascii="Times New Roman" w:hAnsi="Times New Roman" w:eastAsia="仿宋_GB2312" w:cs="Times New Roman"/>
          <w:b w:val="0"/>
          <w:bCs/>
          <w:color w:val="auto"/>
          <w:sz w:val="32"/>
          <w:szCs w:val="32"/>
          <w:highlight w:val="none"/>
          <w:lang w:val="en-US" w:eastAsia="zh-CN"/>
        </w:rPr>
        <w:t>，另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该企业</w:t>
      </w:r>
      <w:r>
        <w:rPr>
          <w:rFonts w:hint="eastAsia" w:ascii="Times New Roman" w:hAnsi="Times New Roman" w:eastAsia="仿宋_GB2312" w:cs="Times New Roman"/>
          <w:b w:val="0"/>
          <w:bCs/>
          <w:color w:val="auto"/>
          <w:sz w:val="32"/>
          <w:szCs w:val="32"/>
          <w:highlight w:val="none"/>
          <w:lang w:val="en-US" w:eastAsia="zh-CN"/>
        </w:rPr>
        <w:t>本年度</w:t>
      </w:r>
      <w:r>
        <w:rPr>
          <w:rFonts w:hint="default" w:ascii="Times New Roman" w:hAnsi="Times New Roman" w:eastAsia="仿宋_GB2312" w:cs="Times New Roman"/>
          <w:b w:val="0"/>
          <w:bCs/>
          <w:color w:val="auto"/>
          <w:sz w:val="32"/>
          <w:szCs w:val="32"/>
          <w:highlight w:val="none"/>
          <w:lang w:val="en-US" w:eastAsia="zh-CN"/>
        </w:rPr>
        <w:t>44%电量参与上网竞价，</w:t>
      </w:r>
      <w:r>
        <w:rPr>
          <w:rFonts w:hint="eastAsia" w:ascii="Times New Roman" w:hAnsi="Times New Roman" w:eastAsia="仿宋_GB2312" w:cs="Times New Roman"/>
          <w:b w:val="0"/>
          <w:bCs/>
          <w:color w:val="auto"/>
          <w:sz w:val="32"/>
          <w:szCs w:val="32"/>
          <w:highlight w:val="none"/>
          <w:lang w:val="en-US" w:eastAsia="zh-CN"/>
        </w:rPr>
        <w:t>导致电价较低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rPr>
          <w:rFonts w:ascii="仿宋" w:hAnsi="仿宋" w:eastAsia="仿宋"/>
          <w:color w:val="auto"/>
          <w:kern w:val="0"/>
          <w:sz w:val="32"/>
          <w:szCs w:val="32"/>
        </w:rPr>
      </w:pPr>
      <w:r>
        <w:rPr>
          <w:rFonts w:hint="eastAsia" w:ascii="仿宋" w:hAnsi="仿宋" w:eastAsia="仿宋"/>
          <w:b/>
          <w:color w:val="auto"/>
          <w:kern w:val="0"/>
          <w:sz w:val="32"/>
          <w:szCs w:val="32"/>
        </w:rPr>
        <w:t>石油、煤炭及其他燃料加工业。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累计入库增值税</w:t>
      </w:r>
      <w:r>
        <w:rPr>
          <w:rFonts w:hint="eastAsia" w:ascii="仿宋" w:hAnsi="仿宋" w:eastAsia="仿宋"/>
          <w:color w:val="auto"/>
          <w:kern w:val="0"/>
          <w:sz w:val="32"/>
          <w:szCs w:val="32"/>
          <w:lang w:val="en-US" w:eastAsia="zh-CN"/>
        </w:rPr>
        <w:t>1491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万元，同比</w:t>
      </w:r>
      <w:r>
        <w:rPr>
          <w:rFonts w:hint="eastAsia" w:ascii="仿宋" w:hAnsi="仿宋" w:eastAsia="仿宋"/>
          <w:color w:val="auto"/>
          <w:kern w:val="0"/>
          <w:sz w:val="32"/>
          <w:szCs w:val="32"/>
          <w:lang w:eastAsia="zh-CN"/>
        </w:rPr>
        <w:t>增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收</w:t>
      </w:r>
      <w:r>
        <w:rPr>
          <w:rFonts w:hint="eastAsia" w:ascii="仿宋" w:hAnsi="仿宋" w:eastAsia="仿宋"/>
          <w:color w:val="auto"/>
          <w:kern w:val="0"/>
          <w:sz w:val="32"/>
          <w:szCs w:val="32"/>
          <w:lang w:val="en-US" w:eastAsia="zh-CN"/>
        </w:rPr>
        <w:t>198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万元。主要</w:t>
      </w:r>
      <w:r>
        <w:rPr>
          <w:rFonts w:hint="eastAsia" w:ascii="仿宋" w:hAnsi="仿宋" w:eastAsia="仿宋"/>
          <w:color w:val="auto"/>
          <w:kern w:val="0"/>
          <w:sz w:val="32"/>
          <w:szCs w:val="32"/>
          <w:lang w:eastAsia="zh-CN"/>
        </w:rPr>
        <w:t>增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收税源是尼勒克县瑞祥焦化有限责任公司同比</w:t>
      </w:r>
      <w:r>
        <w:rPr>
          <w:rFonts w:hint="eastAsia" w:ascii="仿宋" w:hAnsi="仿宋" w:eastAsia="仿宋"/>
          <w:color w:val="auto"/>
          <w:kern w:val="0"/>
          <w:sz w:val="32"/>
          <w:szCs w:val="32"/>
          <w:lang w:eastAsia="zh-CN"/>
        </w:rPr>
        <w:t>增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收</w:t>
      </w:r>
      <w:r>
        <w:rPr>
          <w:rFonts w:hint="eastAsia" w:ascii="仿宋" w:hAnsi="仿宋" w:eastAsia="仿宋"/>
          <w:color w:val="auto"/>
          <w:kern w:val="0"/>
          <w:sz w:val="32"/>
          <w:szCs w:val="32"/>
          <w:lang w:val="en-US" w:eastAsia="zh-CN"/>
        </w:rPr>
        <w:t>198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万元，</w:t>
      </w:r>
      <w:r>
        <w:rPr>
          <w:rFonts w:hint="eastAsia" w:ascii="仿宋" w:hAnsi="仿宋" w:eastAsia="仿宋"/>
          <w:color w:val="auto"/>
          <w:sz w:val="32"/>
          <w:szCs w:val="32"/>
        </w:rPr>
        <w:t>该企业2021年炼焦70万吨，平均单价1850元/吨。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上</w:t>
      </w:r>
      <w:r>
        <w:rPr>
          <w:rFonts w:hint="eastAsia" w:ascii="仿宋" w:hAnsi="仿宋" w:eastAsia="仿宋"/>
          <w:color w:val="auto"/>
          <w:sz w:val="32"/>
          <w:szCs w:val="32"/>
        </w:rPr>
        <w:t>年同期由于受疫情影响，运输渠道受限，焦炭对外销售量减少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color w:val="auto"/>
          <w:kern w:val="0"/>
          <w:sz w:val="32"/>
          <w:szCs w:val="32"/>
        </w:rPr>
        <w:t>黑色金属矿采选业。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累计入库增值税</w:t>
      </w:r>
      <w:r>
        <w:rPr>
          <w:rFonts w:hint="eastAsia" w:ascii="仿宋" w:hAnsi="仿宋" w:eastAsia="仿宋"/>
          <w:color w:val="auto"/>
          <w:kern w:val="0"/>
          <w:sz w:val="32"/>
          <w:szCs w:val="32"/>
          <w:lang w:val="en-US" w:eastAsia="zh-CN"/>
        </w:rPr>
        <w:t>1279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万元，同比</w:t>
      </w:r>
      <w:r>
        <w:rPr>
          <w:rFonts w:hint="eastAsia" w:ascii="仿宋" w:hAnsi="仿宋" w:eastAsia="仿宋"/>
          <w:color w:val="auto"/>
          <w:kern w:val="0"/>
          <w:sz w:val="32"/>
          <w:szCs w:val="32"/>
          <w:lang w:eastAsia="zh-CN"/>
        </w:rPr>
        <w:t>增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收</w:t>
      </w:r>
      <w:r>
        <w:rPr>
          <w:rFonts w:hint="eastAsia" w:ascii="仿宋" w:hAnsi="仿宋" w:eastAsia="仿宋"/>
          <w:color w:val="auto"/>
          <w:kern w:val="0"/>
          <w:sz w:val="32"/>
          <w:szCs w:val="32"/>
          <w:lang w:val="en-US" w:eastAsia="zh-CN"/>
        </w:rPr>
        <w:t>1133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万元。</w:t>
      </w:r>
      <w:r>
        <w:rPr>
          <w:rFonts w:hint="eastAsia" w:ascii="仿宋" w:hAnsi="仿宋" w:eastAsia="仿宋"/>
          <w:color w:val="auto"/>
          <w:kern w:val="0"/>
          <w:sz w:val="32"/>
          <w:szCs w:val="32"/>
          <w:lang w:eastAsia="zh-CN"/>
        </w:rPr>
        <w:t>主要增收税源是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lang w:val="en-US" w:eastAsia="zh-CN"/>
        </w:rPr>
        <w:t>新疆天华矿业有限责任公司累计入库</w:t>
      </w:r>
      <w:r>
        <w:rPr>
          <w:rFonts w:hint="eastAsia" w:ascii="仿宋_GB2312" w:eastAsia="仿宋_GB2312" w:cs="Times New Roman"/>
          <w:color w:val="auto"/>
          <w:kern w:val="2"/>
          <w:sz w:val="32"/>
          <w:szCs w:val="32"/>
          <w:lang w:val="en-US" w:eastAsia="zh-CN"/>
        </w:rPr>
        <w:t>1179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lang w:val="en-US" w:eastAsia="zh-CN"/>
        </w:rPr>
        <w:t>万元，同比增收</w:t>
      </w:r>
      <w:r>
        <w:rPr>
          <w:rFonts w:hint="eastAsia" w:ascii="仿宋_GB2312" w:eastAsia="仿宋_GB2312" w:cs="Times New Roman"/>
          <w:color w:val="auto"/>
          <w:kern w:val="2"/>
          <w:sz w:val="32"/>
          <w:szCs w:val="32"/>
          <w:lang w:val="en-US" w:eastAsia="zh-CN"/>
        </w:rPr>
        <w:t>1034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lang w:val="en-US" w:eastAsia="zh-CN"/>
        </w:rPr>
        <w:t>万元。该企业全年生产铁精粉30万吨，</w:t>
      </w:r>
      <w:r>
        <w:rPr>
          <w:rFonts w:hint="eastAsia" w:ascii="仿宋_GB2312" w:eastAsia="仿宋_GB2312" w:cs="Times New Roman"/>
          <w:color w:val="auto"/>
          <w:kern w:val="2"/>
          <w:sz w:val="32"/>
          <w:szCs w:val="32"/>
          <w:lang w:val="en-US" w:eastAsia="zh-CN"/>
        </w:rPr>
        <w:t>平均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lang w:val="en-US" w:eastAsia="zh-CN"/>
        </w:rPr>
        <w:t>单价929.2元/吨。去年同期由于采矿权到期原因</w:t>
      </w:r>
      <w:r>
        <w:rPr>
          <w:rFonts w:hint="eastAsia" w:ascii="仿宋_GB2312" w:eastAsia="仿宋_GB2312" w:cs="Times New Roman"/>
          <w:color w:val="auto"/>
          <w:kern w:val="2"/>
          <w:sz w:val="32"/>
          <w:szCs w:val="32"/>
          <w:lang w:val="en-US" w:eastAsia="zh-CN"/>
        </w:rPr>
        <w:t>及疫情影响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lang w:val="en-US" w:eastAsia="zh-CN"/>
        </w:rPr>
        <w:t>，</w:t>
      </w:r>
      <w:r>
        <w:rPr>
          <w:rFonts w:hint="eastAsia" w:ascii="仿宋_GB2312" w:eastAsia="仿宋_GB2312" w:cs="Times New Roman"/>
          <w:color w:val="auto"/>
          <w:kern w:val="2"/>
          <w:sz w:val="32"/>
          <w:szCs w:val="32"/>
          <w:lang w:val="en-US" w:eastAsia="zh-CN"/>
        </w:rPr>
        <w:t>销售量较低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jc w:val="left"/>
        <w:rPr>
          <w:rFonts w:ascii="仿宋" w:hAnsi="仿宋" w:eastAsia="仿宋"/>
          <w:color w:val="auto"/>
          <w:kern w:val="0"/>
          <w:sz w:val="32"/>
          <w:szCs w:val="32"/>
        </w:rPr>
      </w:pPr>
      <w:r>
        <w:rPr>
          <w:rFonts w:hint="eastAsia" w:ascii="仿宋" w:hAnsi="仿宋" w:eastAsia="仿宋"/>
          <w:b/>
          <w:color w:val="auto"/>
          <w:kern w:val="0"/>
          <w:sz w:val="32"/>
          <w:szCs w:val="32"/>
        </w:rPr>
        <w:t>建筑业。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累计入库增值税</w:t>
      </w:r>
      <w:r>
        <w:rPr>
          <w:rFonts w:hint="eastAsia" w:ascii="仿宋" w:hAnsi="仿宋" w:eastAsia="仿宋"/>
          <w:color w:val="auto"/>
          <w:kern w:val="0"/>
          <w:sz w:val="32"/>
          <w:szCs w:val="32"/>
          <w:lang w:val="en-US" w:eastAsia="zh-CN"/>
        </w:rPr>
        <w:t>4258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万元，同比增收</w:t>
      </w:r>
      <w:r>
        <w:rPr>
          <w:rFonts w:hint="eastAsia" w:ascii="仿宋" w:hAnsi="仿宋" w:eastAsia="仿宋"/>
          <w:color w:val="auto"/>
          <w:kern w:val="0"/>
          <w:sz w:val="32"/>
          <w:szCs w:val="32"/>
          <w:lang w:val="en-US" w:eastAsia="zh-CN"/>
        </w:rPr>
        <w:t>1105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万元，主要增收税源为伊犁金兴水利水电建筑安装有限责任公司同比增收</w:t>
      </w:r>
      <w:r>
        <w:rPr>
          <w:rFonts w:hint="eastAsia" w:ascii="仿宋" w:hAnsi="仿宋" w:eastAsia="仿宋"/>
          <w:color w:val="auto"/>
          <w:kern w:val="0"/>
          <w:sz w:val="32"/>
          <w:szCs w:val="32"/>
          <w:lang w:val="en-US" w:eastAsia="zh-CN"/>
        </w:rPr>
        <w:t>218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万元、尼勒克县建筑安装市政工程有限责任公司同比增收</w:t>
      </w:r>
      <w:r>
        <w:rPr>
          <w:rFonts w:hint="eastAsia" w:ascii="仿宋" w:hAnsi="仿宋" w:eastAsia="仿宋"/>
          <w:color w:val="auto"/>
          <w:kern w:val="0"/>
          <w:sz w:val="32"/>
          <w:szCs w:val="32"/>
          <w:lang w:val="en-US" w:eastAsia="zh-CN"/>
        </w:rPr>
        <w:t>330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万元、尼勒克县融创市政建设投资有限公司增收</w:t>
      </w:r>
      <w:r>
        <w:rPr>
          <w:rFonts w:hint="eastAsia" w:ascii="仿宋" w:hAnsi="仿宋" w:eastAsia="仿宋"/>
          <w:color w:val="auto"/>
          <w:kern w:val="0"/>
          <w:sz w:val="32"/>
          <w:szCs w:val="32"/>
          <w:lang w:val="en-US" w:eastAsia="zh-CN"/>
        </w:rPr>
        <w:t>174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2、企业所得税累计入库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3076</w:t>
      </w:r>
      <w:r>
        <w:rPr>
          <w:rFonts w:hint="eastAsia" w:ascii="仿宋" w:hAnsi="仿宋" w:eastAsia="仿宋"/>
          <w:color w:val="auto"/>
          <w:sz w:val="32"/>
          <w:szCs w:val="32"/>
        </w:rPr>
        <w:t>万元，同比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增</w:t>
      </w:r>
      <w:r>
        <w:rPr>
          <w:rFonts w:hint="eastAsia" w:ascii="仿宋" w:hAnsi="仿宋" w:eastAsia="仿宋"/>
          <w:color w:val="auto"/>
          <w:sz w:val="32"/>
          <w:szCs w:val="32"/>
        </w:rPr>
        <w:t>收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867</w:t>
      </w:r>
      <w:r>
        <w:rPr>
          <w:rFonts w:hint="eastAsia" w:ascii="仿宋" w:hAnsi="仿宋" w:eastAsia="仿宋"/>
          <w:color w:val="auto"/>
          <w:sz w:val="32"/>
          <w:szCs w:val="32"/>
        </w:rPr>
        <w:t>万元，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增长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39.25</w:t>
      </w:r>
      <w:r>
        <w:rPr>
          <w:rFonts w:hint="eastAsia" w:ascii="仿宋" w:hAnsi="仿宋" w:eastAsia="仿宋"/>
          <w:color w:val="auto"/>
          <w:sz w:val="32"/>
          <w:szCs w:val="32"/>
        </w:rPr>
        <w:t>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b/>
          <w:color w:val="auto"/>
          <w:kern w:val="0"/>
          <w:sz w:val="32"/>
          <w:szCs w:val="32"/>
        </w:rPr>
        <w:t>石油、煤炭及其他燃料加工业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累计入库企业所得税</w:t>
      </w:r>
      <w:r>
        <w:rPr>
          <w:rFonts w:hint="eastAsia" w:ascii="仿宋" w:hAnsi="仿宋" w:eastAsia="仿宋"/>
          <w:color w:val="auto"/>
          <w:kern w:val="0"/>
          <w:sz w:val="32"/>
          <w:szCs w:val="32"/>
          <w:lang w:val="en-US" w:eastAsia="zh-CN"/>
        </w:rPr>
        <w:t>392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万元</w:t>
      </w:r>
      <w:r>
        <w:rPr>
          <w:rFonts w:ascii="仿宋" w:hAnsi="仿宋" w:eastAsia="仿宋"/>
          <w:color w:val="auto"/>
          <w:kern w:val="0"/>
          <w:sz w:val="32"/>
          <w:szCs w:val="32"/>
        </w:rPr>
        <w:t>，同比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增</w:t>
      </w:r>
      <w:r>
        <w:rPr>
          <w:rFonts w:ascii="仿宋" w:hAnsi="仿宋" w:eastAsia="仿宋"/>
          <w:color w:val="auto"/>
          <w:kern w:val="0"/>
          <w:sz w:val="32"/>
          <w:szCs w:val="32"/>
        </w:rPr>
        <w:t>收</w:t>
      </w:r>
      <w:r>
        <w:rPr>
          <w:rFonts w:hint="eastAsia" w:ascii="仿宋" w:hAnsi="仿宋" w:eastAsia="仿宋"/>
          <w:color w:val="auto"/>
          <w:kern w:val="0"/>
          <w:sz w:val="32"/>
          <w:szCs w:val="32"/>
          <w:lang w:val="en-US" w:eastAsia="zh-CN"/>
        </w:rPr>
        <w:t>462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万元。</w:t>
      </w:r>
      <w:r>
        <w:rPr>
          <w:rFonts w:hint="eastAsia" w:ascii="仿宋" w:hAnsi="仿宋" w:eastAsia="仿宋"/>
          <w:color w:val="auto"/>
          <w:sz w:val="32"/>
          <w:szCs w:val="32"/>
        </w:rPr>
        <w:t>主要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增原因是</w:t>
      </w:r>
      <w:r>
        <w:rPr>
          <w:rFonts w:hint="eastAsia" w:ascii="仿宋" w:hAnsi="仿宋" w:eastAsia="仿宋"/>
          <w:color w:val="auto"/>
          <w:sz w:val="32"/>
          <w:szCs w:val="32"/>
        </w:rPr>
        <w:t>尼勒克县瑞祥焦化有限责任公司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年办理企业所得税汇算清缴退库278万元</w:t>
      </w:r>
      <w:r>
        <w:rPr>
          <w:rFonts w:hint="eastAsia" w:ascii="仿宋" w:hAnsi="仿宋" w:eastAsia="仿宋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ascii="仿宋" w:hAnsi="仿宋" w:eastAsia="仿宋"/>
          <w:b/>
          <w:color w:val="auto"/>
          <w:kern w:val="0"/>
          <w:sz w:val="32"/>
          <w:szCs w:val="32"/>
        </w:rPr>
        <w:t>电力、热力、燃气及水生产和供应业</w:t>
      </w:r>
      <w:r>
        <w:rPr>
          <w:rFonts w:hint="eastAsia" w:ascii="仿宋" w:hAnsi="仿宋" w:eastAsia="仿宋"/>
          <w:b/>
          <w:color w:val="auto"/>
          <w:kern w:val="0"/>
          <w:sz w:val="32"/>
          <w:szCs w:val="32"/>
        </w:rPr>
        <w:t>-</w:t>
      </w:r>
      <w:r>
        <w:rPr>
          <w:rFonts w:ascii="仿宋" w:hAnsi="仿宋" w:eastAsia="仿宋"/>
          <w:b/>
          <w:color w:val="auto"/>
          <w:kern w:val="0"/>
          <w:sz w:val="32"/>
          <w:szCs w:val="32"/>
        </w:rPr>
        <w:t>电力生产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累计入库企业所得税</w:t>
      </w:r>
      <w:r>
        <w:rPr>
          <w:rFonts w:hint="eastAsia" w:ascii="仿宋" w:hAnsi="仿宋" w:eastAsia="仿宋"/>
          <w:color w:val="auto"/>
          <w:kern w:val="0"/>
          <w:sz w:val="32"/>
          <w:szCs w:val="32"/>
          <w:lang w:val="en-US" w:eastAsia="zh-CN"/>
        </w:rPr>
        <w:t>720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万元</w:t>
      </w:r>
      <w:r>
        <w:rPr>
          <w:rFonts w:ascii="仿宋" w:hAnsi="仿宋" w:eastAsia="仿宋"/>
          <w:color w:val="auto"/>
          <w:kern w:val="0"/>
          <w:sz w:val="32"/>
          <w:szCs w:val="32"/>
        </w:rPr>
        <w:t>，同比</w:t>
      </w:r>
      <w:r>
        <w:rPr>
          <w:rFonts w:hint="eastAsia" w:ascii="仿宋" w:hAnsi="仿宋" w:eastAsia="仿宋"/>
          <w:color w:val="auto"/>
          <w:kern w:val="0"/>
          <w:sz w:val="32"/>
          <w:szCs w:val="32"/>
          <w:lang w:eastAsia="zh-CN"/>
        </w:rPr>
        <w:t>减</w:t>
      </w:r>
      <w:r>
        <w:rPr>
          <w:rFonts w:ascii="仿宋" w:hAnsi="仿宋" w:eastAsia="仿宋"/>
          <w:color w:val="auto"/>
          <w:kern w:val="0"/>
          <w:sz w:val="32"/>
          <w:szCs w:val="32"/>
        </w:rPr>
        <w:t>收</w:t>
      </w:r>
      <w:r>
        <w:rPr>
          <w:rFonts w:hint="eastAsia" w:ascii="仿宋" w:hAnsi="仿宋" w:eastAsia="仿宋"/>
          <w:color w:val="auto"/>
          <w:kern w:val="0"/>
          <w:sz w:val="32"/>
          <w:szCs w:val="32"/>
          <w:lang w:val="en-US" w:eastAsia="zh-CN"/>
        </w:rPr>
        <w:t>451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万元，主要</w:t>
      </w:r>
      <w:r>
        <w:rPr>
          <w:rFonts w:hint="eastAsia" w:ascii="仿宋" w:hAnsi="仿宋" w:eastAsia="仿宋"/>
          <w:color w:val="auto"/>
          <w:kern w:val="0"/>
          <w:sz w:val="32"/>
          <w:szCs w:val="32"/>
          <w:lang w:eastAsia="zh-CN"/>
        </w:rPr>
        <w:t>原因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是</w:t>
      </w:r>
      <w:r>
        <w:rPr>
          <w:rFonts w:hint="eastAsia" w:ascii="仿宋" w:hAnsi="仿宋" w:eastAsia="仿宋"/>
          <w:color w:val="auto"/>
          <w:kern w:val="0"/>
          <w:sz w:val="32"/>
          <w:szCs w:val="32"/>
          <w:lang w:eastAsia="zh-CN"/>
        </w:rPr>
        <w:t>受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发电量减少及水位降低、主营业务收入锐减影响国电</w:t>
      </w:r>
      <w:r>
        <w:rPr>
          <w:rFonts w:hint="eastAsia" w:ascii="仿宋" w:hAnsi="仿宋" w:eastAsia="仿宋"/>
          <w:color w:val="auto"/>
          <w:sz w:val="32"/>
          <w:szCs w:val="32"/>
        </w:rPr>
        <w:t>吉林台水电开发有限公司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及所属</w:t>
      </w:r>
      <w:r>
        <w:rPr>
          <w:rFonts w:hint="eastAsia" w:ascii="仿宋" w:hAnsi="仿宋" w:eastAsia="仿宋"/>
          <w:color w:val="auto"/>
          <w:sz w:val="32"/>
          <w:szCs w:val="32"/>
        </w:rPr>
        <w:t>分公司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同比减收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455万元</w:t>
      </w:r>
      <w:r>
        <w:rPr>
          <w:rFonts w:hint="eastAsia" w:ascii="仿宋" w:hAnsi="仿宋" w:eastAsia="仿宋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b/>
          <w:color w:val="auto"/>
          <w:sz w:val="32"/>
          <w:szCs w:val="32"/>
        </w:rPr>
        <w:t>采矿业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累计入库企业所得税</w:t>
      </w:r>
      <w:r>
        <w:rPr>
          <w:rFonts w:hint="eastAsia" w:ascii="仿宋" w:hAnsi="仿宋" w:eastAsia="仿宋"/>
          <w:color w:val="auto"/>
          <w:kern w:val="0"/>
          <w:sz w:val="32"/>
          <w:szCs w:val="32"/>
          <w:lang w:val="en-US" w:eastAsia="zh-CN"/>
        </w:rPr>
        <w:t>732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万元</w:t>
      </w:r>
      <w:r>
        <w:rPr>
          <w:rFonts w:ascii="仿宋" w:hAnsi="仿宋" w:eastAsia="仿宋"/>
          <w:color w:val="auto"/>
          <w:kern w:val="0"/>
          <w:sz w:val="32"/>
          <w:szCs w:val="32"/>
        </w:rPr>
        <w:t>，同比</w:t>
      </w:r>
      <w:r>
        <w:rPr>
          <w:rFonts w:hint="eastAsia" w:ascii="仿宋" w:hAnsi="仿宋" w:eastAsia="仿宋"/>
          <w:color w:val="auto"/>
          <w:kern w:val="0"/>
          <w:sz w:val="32"/>
          <w:szCs w:val="32"/>
          <w:lang w:eastAsia="zh-CN"/>
        </w:rPr>
        <w:t>增</w:t>
      </w:r>
      <w:r>
        <w:rPr>
          <w:rFonts w:ascii="仿宋" w:hAnsi="仿宋" w:eastAsia="仿宋"/>
          <w:color w:val="auto"/>
          <w:kern w:val="0"/>
          <w:sz w:val="32"/>
          <w:szCs w:val="32"/>
        </w:rPr>
        <w:t>收</w:t>
      </w:r>
      <w:r>
        <w:rPr>
          <w:rFonts w:hint="eastAsia" w:ascii="仿宋" w:hAnsi="仿宋" w:eastAsia="仿宋"/>
          <w:color w:val="auto"/>
          <w:kern w:val="0"/>
          <w:sz w:val="32"/>
          <w:szCs w:val="32"/>
          <w:lang w:val="en-US" w:eastAsia="zh-CN"/>
        </w:rPr>
        <w:t>537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万元，增收的主要</w:t>
      </w:r>
      <w:r>
        <w:rPr>
          <w:rFonts w:hint="eastAsia" w:ascii="仿宋" w:hAnsi="仿宋" w:eastAsia="仿宋"/>
          <w:color w:val="auto"/>
          <w:kern w:val="0"/>
          <w:sz w:val="32"/>
          <w:szCs w:val="32"/>
          <w:lang w:eastAsia="zh-CN"/>
        </w:rPr>
        <w:t>原因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是天华矿业本年度加大生产量，盈利情况较好，去年同期受疫情影响处于亏损阶段</w:t>
      </w:r>
      <w:r>
        <w:rPr>
          <w:rFonts w:hint="eastAsia" w:ascii="仿宋" w:hAnsi="仿宋" w:eastAsia="仿宋"/>
          <w:color w:val="auto"/>
          <w:kern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同比增收</w:t>
      </w:r>
      <w:r>
        <w:rPr>
          <w:rFonts w:hint="eastAsia" w:ascii="仿宋" w:hAnsi="仿宋" w:eastAsia="仿宋"/>
          <w:color w:val="auto"/>
          <w:kern w:val="0"/>
          <w:sz w:val="32"/>
          <w:szCs w:val="32"/>
          <w:lang w:val="en-US" w:eastAsia="zh-CN"/>
        </w:rPr>
        <w:t>440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3、个人所得税累计入库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559</w:t>
      </w:r>
      <w:r>
        <w:rPr>
          <w:rFonts w:hint="eastAsia" w:ascii="仿宋" w:hAnsi="仿宋" w:eastAsia="仿宋"/>
          <w:color w:val="auto"/>
          <w:sz w:val="32"/>
          <w:szCs w:val="32"/>
        </w:rPr>
        <w:t>万元，同比减收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28</w:t>
      </w:r>
      <w:r>
        <w:rPr>
          <w:rFonts w:hint="eastAsia" w:ascii="仿宋" w:hAnsi="仿宋" w:eastAsia="仿宋"/>
          <w:color w:val="auto"/>
          <w:sz w:val="32"/>
          <w:szCs w:val="32"/>
        </w:rPr>
        <w:t>万元，下降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4.77</w:t>
      </w:r>
      <w:r>
        <w:rPr>
          <w:rFonts w:hint="eastAsia" w:ascii="仿宋" w:hAnsi="仿宋" w:eastAsia="仿宋"/>
          <w:color w:val="auto"/>
          <w:sz w:val="32"/>
          <w:szCs w:val="32"/>
        </w:rPr>
        <w:t>%，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与上年同期基本持平</w:t>
      </w:r>
      <w:r>
        <w:rPr>
          <w:rFonts w:hint="eastAsia" w:ascii="仿宋" w:hAnsi="仿宋" w:eastAsia="仿宋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rPr>
          <w:rFonts w:hint="eastAsia" w:ascii="仿宋" w:hAnsi="仿宋" w:eastAsia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4、资源税累计入库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2127</w:t>
      </w:r>
      <w:r>
        <w:rPr>
          <w:rFonts w:hint="eastAsia" w:ascii="仿宋" w:hAnsi="仿宋" w:eastAsia="仿宋"/>
          <w:color w:val="auto"/>
          <w:sz w:val="32"/>
          <w:szCs w:val="32"/>
        </w:rPr>
        <w:t>万元，同比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增</w:t>
      </w:r>
      <w:r>
        <w:rPr>
          <w:rFonts w:hint="eastAsia" w:ascii="仿宋" w:hAnsi="仿宋" w:eastAsia="仿宋"/>
          <w:color w:val="auto"/>
          <w:sz w:val="32"/>
          <w:szCs w:val="32"/>
        </w:rPr>
        <w:t>收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1047</w:t>
      </w:r>
      <w:r>
        <w:rPr>
          <w:rFonts w:hint="eastAsia" w:ascii="仿宋" w:hAnsi="仿宋" w:eastAsia="仿宋"/>
          <w:color w:val="auto"/>
          <w:sz w:val="32"/>
          <w:szCs w:val="32"/>
        </w:rPr>
        <w:t>万元，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增长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96.94</w:t>
      </w:r>
      <w:r>
        <w:rPr>
          <w:rFonts w:hint="eastAsia" w:ascii="仿宋" w:hAnsi="仿宋" w:eastAsia="仿宋"/>
          <w:color w:val="auto"/>
          <w:sz w:val="32"/>
          <w:szCs w:val="32"/>
        </w:rPr>
        <w:t>%，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增</w:t>
      </w:r>
      <w:r>
        <w:rPr>
          <w:rFonts w:hint="eastAsia" w:ascii="仿宋" w:hAnsi="仿宋" w:eastAsia="仿宋"/>
          <w:color w:val="auto"/>
          <w:sz w:val="32"/>
          <w:szCs w:val="32"/>
        </w:rPr>
        <w:t>收的主要原因是天华矿业去年同期由于采矿权到期原因及疫情影响，销售量较低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，本年生产均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>趋于正常，同比增收986万元。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5、耕地占用税累计入库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2709</w:t>
      </w:r>
      <w:r>
        <w:rPr>
          <w:rFonts w:hint="eastAsia" w:ascii="仿宋" w:hAnsi="仿宋" w:eastAsia="仿宋"/>
          <w:color w:val="auto"/>
          <w:sz w:val="32"/>
          <w:szCs w:val="32"/>
        </w:rPr>
        <w:t>万元，同比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减</w:t>
      </w:r>
      <w:r>
        <w:rPr>
          <w:rFonts w:hint="eastAsia" w:ascii="仿宋" w:hAnsi="仿宋" w:eastAsia="仿宋"/>
          <w:color w:val="auto"/>
          <w:sz w:val="32"/>
          <w:szCs w:val="32"/>
        </w:rPr>
        <w:t>收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1470</w:t>
      </w:r>
      <w:r>
        <w:rPr>
          <w:rFonts w:hint="eastAsia" w:ascii="仿宋" w:hAnsi="仿宋" w:eastAsia="仿宋"/>
          <w:color w:val="auto"/>
          <w:sz w:val="32"/>
          <w:szCs w:val="32"/>
        </w:rPr>
        <w:t>万元，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下降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35.18</w:t>
      </w:r>
      <w:r>
        <w:rPr>
          <w:rFonts w:hint="eastAsia" w:ascii="仿宋" w:hAnsi="仿宋" w:eastAsia="仿宋"/>
          <w:color w:val="auto"/>
          <w:sz w:val="32"/>
          <w:szCs w:val="32"/>
        </w:rPr>
        <w:t>%，主要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原因</w:t>
      </w:r>
      <w:r>
        <w:rPr>
          <w:rFonts w:hint="eastAsia" w:ascii="仿宋" w:hAnsi="仿宋" w:eastAsia="仿宋"/>
          <w:color w:val="auto"/>
          <w:sz w:val="32"/>
          <w:szCs w:val="32"/>
        </w:rPr>
        <w:t>是大唐尼勒克清洁能源有限公司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上年</w:t>
      </w:r>
      <w:r>
        <w:rPr>
          <w:rFonts w:hint="eastAsia" w:ascii="仿宋" w:hAnsi="仿宋" w:eastAsia="仿宋"/>
          <w:color w:val="auto"/>
          <w:sz w:val="32"/>
          <w:szCs w:val="32"/>
        </w:rPr>
        <w:t>缴纳耕地占用税1951万元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，本年无此项收入</w:t>
      </w:r>
      <w:r>
        <w:rPr>
          <w:rFonts w:hint="eastAsia" w:ascii="仿宋" w:hAnsi="仿宋" w:eastAsia="仿宋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outlineLvl w:val="9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color w:val="auto"/>
          <w:sz w:val="32"/>
          <w:szCs w:val="32"/>
        </w:rPr>
        <w:t>、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契</w:t>
      </w:r>
      <w:r>
        <w:rPr>
          <w:rFonts w:hint="eastAsia" w:ascii="仿宋" w:hAnsi="仿宋" w:eastAsia="仿宋"/>
          <w:color w:val="auto"/>
          <w:sz w:val="32"/>
          <w:szCs w:val="32"/>
        </w:rPr>
        <w:t>税累计入库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1630</w:t>
      </w:r>
      <w:r>
        <w:rPr>
          <w:rFonts w:hint="eastAsia" w:ascii="仿宋" w:hAnsi="仿宋" w:eastAsia="仿宋"/>
          <w:color w:val="auto"/>
          <w:sz w:val="32"/>
          <w:szCs w:val="32"/>
        </w:rPr>
        <w:t>万元，同比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增</w:t>
      </w:r>
      <w:r>
        <w:rPr>
          <w:rFonts w:hint="eastAsia" w:ascii="仿宋" w:hAnsi="仿宋" w:eastAsia="仿宋"/>
          <w:color w:val="auto"/>
          <w:sz w:val="32"/>
          <w:szCs w:val="32"/>
        </w:rPr>
        <w:t>收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752</w:t>
      </w:r>
      <w:r>
        <w:rPr>
          <w:rFonts w:hint="eastAsia" w:ascii="仿宋" w:hAnsi="仿宋" w:eastAsia="仿宋"/>
          <w:color w:val="auto"/>
          <w:sz w:val="32"/>
          <w:szCs w:val="32"/>
        </w:rPr>
        <w:t>万元，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增长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85.65</w:t>
      </w:r>
      <w:r>
        <w:rPr>
          <w:rFonts w:hint="eastAsia" w:ascii="仿宋" w:hAnsi="仿宋" w:eastAsia="仿宋"/>
          <w:color w:val="auto"/>
          <w:sz w:val="32"/>
          <w:szCs w:val="32"/>
        </w:rPr>
        <w:t>%，主要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原因</w:t>
      </w:r>
      <w:r>
        <w:rPr>
          <w:rFonts w:hint="eastAsia" w:ascii="仿宋" w:hAnsi="仿宋" w:eastAsia="仿宋"/>
          <w:color w:val="auto"/>
          <w:sz w:val="32"/>
          <w:szCs w:val="32"/>
        </w:rPr>
        <w:t>是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重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lang w:val="en-US" w:eastAsia="zh-CN"/>
        </w:rPr>
        <w:t>点工程项目缴纳土地出让契税，其中尼勒克县融建市政建设投资有限公司缴纳383万元、尼勒克县交通投资有限公司购买土地使用权缴纳契税241万元、伊犁德方房地产开发有限公司缴纳契税103万元</w:t>
      </w:r>
      <w:r>
        <w:rPr>
          <w:rFonts w:hint="eastAsia" w:ascii="仿宋" w:hAnsi="仿宋" w:eastAsia="仿宋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b/>
          <w:color w:val="auto"/>
          <w:sz w:val="32"/>
          <w:szCs w:val="32"/>
        </w:rPr>
        <w:t>非税收入</w:t>
      </w:r>
      <w:r>
        <w:rPr>
          <w:rFonts w:hint="eastAsia" w:ascii="仿宋" w:hAnsi="仿宋" w:eastAsia="仿宋"/>
          <w:color w:val="auto"/>
          <w:sz w:val="32"/>
          <w:szCs w:val="32"/>
        </w:rPr>
        <w:t>完成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16664</w:t>
      </w:r>
      <w:r>
        <w:rPr>
          <w:rFonts w:hint="eastAsia" w:ascii="仿宋" w:hAnsi="仿宋" w:eastAsia="仿宋"/>
          <w:color w:val="auto"/>
          <w:sz w:val="32"/>
          <w:szCs w:val="32"/>
        </w:rPr>
        <w:t>万元，完成年初预算的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164.16</w:t>
      </w:r>
      <w:r>
        <w:rPr>
          <w:rFonts w:hint="eastAsia" w:ascii="仿宋" w:hAnsi="仿宋" w:eastAsia="仿宋"/>
          <w:color w:val="auto"/>
          <w:sz w:val="32"/>
          <w:szCs w:val="32"/>
        </w:rPr>
        <w:t>%，较上年同期增收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5239</w:t>
      </w:r>
      <w:r>
        <w:rPr>
          <w:rFonts w:hint="eastAsia" w:ascii="仿宋" w:hAnsi="仿宋" w:eastAsia="仿宋"/>
          <w:color w:val="auto"/>
          <w:sz w:val="32"/>
          <w:szCs w:val="32"/>
        </w:rPr>
        <w:t>万元，增长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45.86</w:t>
      </w:r>
      <w:r>
        <w:rPr>
          <w:rFonts w:hint="eastAsia" w:ascii="仿宋" w:hAnsi="仿宋" w:eastAsia="仿宋"/>
          <w:color w:val="auto"/>
          <w:sz w:val="32"/>
          <w:szCs w:val="32"/>
        </w:rPr>
        <w:t>%。增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减</w:t>
      </w:r>
      <w:r>
        <w:rPr>
          <w:rFonts w:hint="eastAsia" w:ascii="仿宋" w:hAnsi="仿宋" w:eastAsia="仿宋"/>
          <w:color w:val="auto"/>
          <w:sz w:val="32"/>
          <w:szCs w:val="32"/>
        </w:rPr>
        <w:t>的主要原因是：一是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专项收入同比增收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5110万元，主要原因是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受国有土地出让收入大幅增收影响</w:t>
      </w:r>
      <w:r>
        <w:rPr>
          <w:rFonts w:hint="eastAsia" w:ascii="仿宋" w:hAnsi="仿宋" w:eastAsia="仿宋"/>
          <w:color w:val="auto"/>
          <w:sz w:val="32"/>
          <w:szCs w:val="32"/>
        </w:rPr>
        <w:t>计提教育资金及农田水利建设资金收入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5645</w:t>
      </w:r>
      <w:r>
        <w:rPr>
          <w:rFonts w:hint="eastAsia" w:ascii="仿宋" w:hAnsi="仿宋" w:eastAsia="仿宋"/>
          <w:color w:val="auto"/>
          <w:sz w:val="32"/>
          <w:szCs w:val="32"/>
        </w:rPr>
        <w:t>万元，同比增收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4907</w:t>
      </w:r>
      <w:r>
        <w:rPr>
          <w:rFonts w:hint="eastAsia" w:ascii="仿宋" w:hAnsi="仿宋" w:eastAsia="仿宋"/>
          <w:color w:val="auto"/>
          <w:sz w:val="32"/>
          <w:szCs w:val="32"/>
        </w:rPr>
        <w:t>万元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；</w:t>
      </w:r>
      <w:r>
        <w:rPr>
          <w:rFonts w:hint="eastAsia" w:ascii="仿宋" w:hAnsi="仿宋" w:eastAsia="仿宋"/>
          <w:color w:val="auto"/>
          <w:sz w:val="32"/>
          <w:szCs w:val="32"/>
        </w:rPr>
        <w:t>二是捐赠收入同比增收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3624</w:t>
      </w:r>
      <w:r>
        <w:rPr>
          <w:rFonts w:hint="eastAsia" w:ascii="仿宋" w:hAnsi="仿宋" w:eastAsia="仿宋"/>
          <w:color w:val="auto"/>
          <w:sz w:val="32"/>
          <w:szCs w:val="32"/>
        </w:rPr>
        <w:t>万元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；</w:t>
      </w:r>
      <w:r>
        <w:rPr>
          <w:rFonts w:hint="eastAsia" w:ascii="仿宋" w:hAnsi="仿宋" w:eastAsia="仿宋"/>
          <w:color w:val="auto"/>
          <w:sz w:val="32"/>
          <w:szCs w:val="32"/>
        </w:rPr>
        <w:t>三是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国</w:t>
      </w:r>
      <w:r>
        <w:rPr>
          <w:rFonts w:hint="eastAsia" w:ascii="仿宋" w:hAnsi="仿宋" w:eastAsia="仿宋"/>
          <w:color w:val="auto"/>
          <w:sz w:val="32"/>
          <w:szCs w:val="32"/>
        </w:rPr>
        <w:t>有资源有偿使用收入同比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减</w:t>
      </w:r>
      <w:r>
        <w:rPr>
          <w:rFonts w:hint="eastAsia" w:ascii="仿宋" w:hAnsi="仿宋" w:eastAsia="仿宋"/>
          <w:color w:val="auto"/>
          <w:sz w:val="32"/>
          <w:szCs w:val="32"/>
        </w:rPr>
        <w:t>收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4709</w:t>
      </w:r>
      <w:r>
        <w:rPr>
          <w:rFonts w:hint="eastAsia" w:ascii="仿宋" w:hAnsi="仿宋" w:eastAsia="仿宋"/>
          <w:color w:val="auto"/>
          <w:sz w:val="32"/>
          <w:szCs w:val="32"/>
        </w:rPr>
        <w:t>万元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，主要原因是上年同期缴纳交通资产处置收入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5000万元，本年无此项收入</w:t>
      </w:r>
      <w:r>
        <w:rPr>
          <w:rFonts w:hint="eastAsia" w:ascii="仿宋" w:hAnsi="仿宋" w:eastAsia="仿宋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rPr>
          <w:rFonts w:asciiTheme="minorEastAsia" w:hAnsiTheme="minorEastAsia" w:eastAsiaTheme="minorEastAsia"/>
          <w:b/>
          <w:color w:val="auto"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color w:val="auto"/>
          <w:sz w:val="32"/>
          <w:szCs w:val="32"/>
        </w:rPr>
        <w:t>四、</w:t>
      </w:r>
      <w:r>
        <w:rPr>
          <w:rFonts w:asciiTheme="minorEastAsia" w:hAnsiTheme="minorEastAsia" w:eastAsiaTheme="minorEastAsia"/>
          <w:b/>
          <w:color w:val="auto"/>
          <w:sz w:val="32"/>
          <w:szCs w:val="32"/>
        </w:rPr>
        <w:t>一般公共预算支出情况分析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outlineLvl w:val="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我县在财政收入形势严峻的情况下充分履行公共财政职能，优化支出结构，按照科学化、精细化管理要求，盘活财政存量资金，着力在促发展、调结构和惠民生等方面发挥积极作用，在财政资金周转困难的情况下我县积极筹措资金发放了2018年及</w:t>
      </w:r>
      <w:bookmarkStart w:id="0" w:name="_GoBack"/>
      <w:bookmarkEnd w:id="0"/>
      <w:r>
        <w:rPr>
          <w:rFonts w:hint="eastAsia" w:ascii="仿宋" w:hAnsi="仿宋" w:eastAsia="仿宋"/>
          <w:color w:val="auto"/>
          <w:sz w:val="32"/>
          <w:szCs w:val="32"/>
        </w:rPr>
        <w:t>2020年绩效工资。2021年全县一般公共预算支出完成227203万元，下降6.94%，主要原因一是新增一般债券收入减少；二是因取消国库集中支付结余额度使得专项资金支出同比大幅减支。主要支出项目情况如下：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一般公共服务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21144</w:t>
      </w:r>
      <w:r>
        <w:rPr>
          <w:rFonts w:hint="eastAsia" w:ascii="仿宋" w:hAnsi="仿宋" w:eastAsia="仿宋"/>
          <w:color w:val="auto"/>
          <w:sz w:val="32"/>
          <w:szCs w:val="32"/>
        </w:rPr>
        <w:t>万元，增支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5109</w:t>
      </w:r>
      <w:r>
        <w:rPr>
          <w:rFonts w:hint="eastAsia" w:ascii="仿宋" w:hAnsi="仿宋" w:eastAsia="仿宋"/>
          <w:color w:val="auto"/>
          <w:sz w:val="32"/>
          <w:szCs w:val="32"/>
        </w:rPr>
        <w:t>万元，增长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31.86</w:t>
      </w:r>
      <w:r>
        <w:rPr>
          <w:rFonts w:hint="eastAsia" w:ascii="仿宋" w:hAnsi="仿宋" w:eastAsia="仿宋"/>
          <w:color w:val="auto"/>
          <w:sz w:val="32"/>
          <w:szCs w:val="32"/>
        </w:rPr>
        <w:t>%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，主要是拨付村干部工资、访惠聚个人补助及工作经费</w:t>
      </w:r>
      <w:r>
        <w:rPr>
          <w:rFonts w:hint="eastAsia" w:ascii="仿宋" w:hAnsi="仿宋" w:eastAsia="仿宋"/>
          <w:color w:val="auto"/>
          <w:sz w:val="32"/>
          <w:szCs w:val="32"/>
        </w:rPr>
        <w:t>；公共安全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19777</w:t>
      </w:r>
      <w:r>
        <w:rPr>
          <w:rFonts w:hint="eastAsia" w:ascii="仿宋" w:hAnsi="仿宋" w:eastAsia="仿宋"/>
          <w:color w:val="auto"/>
          <w:sz w:val="32"/>
          <w:szCs w:val="32"/>
        </w:rPr>
        <w:t>万元，减支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4126</w:t>
      </w:r>
      <w:r>
        <w:rPr>
          <w:rFonts w:hint="eastAsia" w:ascii="仿宋" w:hAnsi="仿宋" w:eastAsia="仿宋"/>
          <w:color w:val="auto"/>
          <w:sz w:val="32"/>
          <w:szCs w:val="32"/>
        </w:rPr>
        <w:t>万元，下降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17.26</w:t>
      </w:r>
      <w:r>
        <w:rPr>
          <w:rFonts w:hint="eastAsia" w:ascii="仿宋" w:hAnsi="仿宋" w:eastAsia="仿宋"/>
          <w:color w:val="auto"/>
          <w:sz w:val="32"/>
          <w:szCs w:val="32"/>
        </w:rPr>
        <w:t>%，下降的主要原因是上年拨付债券资金；教育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53848</w:t>
      </w:r>
      <w:r>
        <w:rPr>
          <w:rFonts w:hint="eastAsia" w:ascii="仿宋" w:hAnsi="仿宋" w:eastAsia="仿宋"/>
          <w:color w:val="auto"/>
          <w:sz w:val="32"/>
          <w:szCs w:val="32"/>
        </w:rPr>
        <w:t>万元，增支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3971</w:t>
      </w:r>
      <w:r>
        <w:rPr>
          <w:rFonts w:hint="eastAsia" w:ascii="仿宋" w:hAnsi="仿宋" w:eastAsia="仿宋"/>
          <w:color w:val="auto"/>
          <w:sz w:val="32"/>
          <w:szCs w:val="32"/>
        </w:rPr>
        <w:t>万元，增长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7.96</w:t>
      </w:r>
      <w:r>
        <w:rPr>
          <w:rFonts w:hint="eastAsia" w:ascii="仿宋" w:hAnsi="仿宋" w:eastAsia="仿宋"/>
          <w:color w:val="auto"/>
          <w:sz w:val="32"/>
          <w:szCs w:val="32"/>
        </w:rPr>
        <w:t>%；科学技术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122</w:t>
      </w:r>
      <w:r>
        <w:rPr>
          <w:rFonts w:hint="eastAsia" w:ascii="仿宋" w:hAnsi="仿宋" w:eastAsia="仿宋"/>
          <w:color w:val="auto"/>
          <w:sz w:val="32"/>
          <w:szCs w:val="32"/>
        </w:rPr>
        <w:t>万元，增支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color w:val="auto"/>
          <w:sz w:val="32"/>
          <w:szCs w:val="32"/>
        </w:rPr>
        <w:t>万元，增长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7.02</w:t>
      </w:r>
      <w:r>
        <w:rPr>
          <w:rFonts w:hint="eastAsia" w:ascii="仿宋" w:hAnsi="仿宋" w:eastAsia="仿宋"/>
          <w:color w:val="auto"/>
          <w:sz w:val="32"/>
          <w:szCs w:val="32"/>
        </w:rPr>
        <w:t>%；文化旅游体育与传媒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3882</w:t>
      </w:r>
      <w:r>
        <w:rPr>
          <w:rFonts w:hint="eastAsia" w:ascii="仿宋" w:hAnsi="仿宋" w:eastAsia="仿宋"/>
          <w:color w:val="auto"/>
          <w:sz w:val="32"/>
          <w:szCs w:val="32"/>
        </w:rPr>
        <w:t>万元，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增</w:t>
      </w:r>
      <w:r>
        <w:rPr>
          <w:rFonts w:hint="eastAsia" w:ascii="仿宋" w:hAnsi="仿宋" w:eastAsia="仿宋"/>
          <w:color w:val="auto"/>
          <w:sz w:val="32"/>
          <w:szCs w:val="32"/>
        </w:rPr>
        <w:t>支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1202</w:t>
      </w:r>
      <w:r>
        <w:rPr>
          <w:rFonts w:hint="eastAsia" w:ascii="仿宋" w:hAnsi="仿宋" w:eastAsia="仿宋"/>
          <w:color w:val="auto"/>
          <w:sz w:val="32"/>
          <w:szCs w:val="32"/>
        </w:rPr>
        <w:t>万元，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增长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44.8</w:t>
      </w:r>
      <w:r>
        <w:rPr>
          <w:rFonts w:hint="eastAsia" w:ascii="仿宋" w:hAnsi="仿宋" w:eastAsia="仿宋"/>
          <w:color w:val="auto"/>
          <w:sz w:val="32"/>
          <w:szCs w:val="32"/>
        </w:rPr>
        <w:t>5%，主要是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我县加大湿地古杨景区提升项目和旅游基础设施建设投入</w:t>
      </w:r>
      <w:r>
        <w:rPr>
          <w:rFonts w:hint="eastAsia" w:ascii="仿宋" w:hAnsi="仿宋" w:eastAsia="仿宋"/>
          <w:color w:val="auto"/>
          <w:sz w:val="32"/>
          <w:szCs w:val="32"/>
        </w:rPr>
        <w:t>；社会保障和就业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24353</w:t>
      </w:r>
      <w:r>
        <w:rPr>
          <w:rFonts w:hint="eastAsia" w:ascii="仿宋" w:hAnsi="仿宋" w:eastAsia="仿宋"/>
          <w:color w:val="auto"/>
          <w:sz w:val="32"/>
          <w:szCs w:val="32"/>
        </w:rPr>
        <w:t>万元，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减</w:t>
      </w:r>
      <w:r>
        <w:rPr>
          <w:rFonts w:hint="eastAsia" w:ascii="仿宋" w:hAnsi="仿宋" w:eastAsia="仿宋"/>
          <w:color w:val="auto"/>
          <w:sz w:val="32"/>
          <w:szCs w:val="32"/>
        </w:rPr>
        <w:t>支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6304</w:t>
      </w:r>
      <w:r>
        <w:rPr>
          <w:rFonts w:hint="eastAsia" w:ascii="仿宋" w:hAnsi="仿宋" w:eastAsia="仿宋"/>
          <w:color w:val="auto"/>
          <w:sz w:val="32"/>
          <w:szCs w:val="32"/>
        </w:rPr>
        <w:t>万元，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下降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20.56</w:t>
      </w:r>
      <w:r>
        <w:rPr>
          <w:rFonts w:hint="eastAsia" w:ascii="仿宋" w:hAnsi="仿宋" w:eastAsia="仿宋"/>
          <w:color w:val="auto"/>
          <w:sz w:val="32"/>
          <w:szCs w:val="32"/>
        </w:rPr>
        <w:t>%，主要是养老保险基金补助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减少</w:t>
      </w:r>
      <w:r>
        <w:rPr>
          <w:rFonts w:hint="eastAsia" w:ascii="仿宋" w:hAnsi="仿宋" w:eastAsia="仿宋"/>
          <w:color w:val="auto"/>
          <w:sz w:val="32"/>
          <w:szCs w:val="32"/>
        </w:rPr>
        <w:t>；卫生健康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26103</w:t>
      </w:r>
      <w:r>
        <w:rPr>
          <w:rFonts w:hint="eastAsia" w:ascii="仿宋" w:hAnsi="仿宋" w:eastAsia="仿宋"/>
          <w:color w:val="auto"/>
          <w:sz w:val="32"/>
          <w:szCs w:val="32"/>
        </w:rPr>
        <w:t>万元，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减</w:t>
      </w:r>
      <w:r>
        <w:rPr>
          <w:rFonts w:hint="eastAsia" w:ascii="仿宋" w:hAnsi="仿宋" w:eastAsia="仿宋"/>
          <w:color w:val="auto"/>
          <w:sz w:val="32"/>
          <w:szCs w:val="32"/>
        </w:rPr>
        <w:t>支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2511</w:t>
      </w:r>
      <w:r>
        <w:rPr>
          <w:rFonts w:hint="eastAsia" w:ascii="仿宋" w:hAnsi="仿宋" w:eastAsia="仿宋"/>
          <w:color w:val="auto"/>
          <w:sz w:val="32"/>
          <w:szCs w:val="32"/>
        </w:rPr>
        <w:t>万元，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下降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8.78</w:t>
      </w:r>
      <w:r>
        <w:rPr>
          <w:rFonts w:hint="eastAsia" w:ascii="仿宋" w:hAnsi="仿宋" w:eastAsia="仿宋"/>
          <w:color w:val="auto"/>
          <w:sz w:val="32"/>
          <w:szCs w:val="32"/>
        </w:rPr>
        <w:t>%，主要是疫情投入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及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JHSY专项减少</w:t>
      </w:r>
      <w:r>
        <w:rPr>
          <w:rFonts w:hint="eastAsia" w:ascii="仿宋" w:hAnsi="仿宋" w:eastAsia="仿宋"/>
          <w:color w:val="auto"/>
          <w:sz w:val="32"/>
          <w:szCs w:val="32"/>
        </w:rPr>
        <w:t>；节能环保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1182</w:t>
      </w:r>
      <w:r>
        <w:rPr>
          <w:rFonts w:hint="eastAsia" w:ascii="仿宋" w:hAnsi="仿宋" w:eastAsia="仿宋"/>
          <w:color w:val="auto"/>
          <w:sz w:val="32"/>
          <w:szCs w:val="32"/>
        </w:rPr>
        <w:t>万元，减支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805</w:t>
      </w:r>
      <w:r>
        <w:rPr>
          <w:rFonts w:hint="eastAsia" w:ascii="仿宋" w:hAnsi="仿宋" w:eastAsia="仿宋"/>
          <w:color w:val="auto"/>
          <w:sz w:val="32"/>
          <w:szCs w:val="32"/>
        </w:rPr>
        <w:t>万元，下降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40.51</w:t>
      </w:r>
      <w:r>
        <w:rPr>
          <w:rFonts w:hint="eastAsia" w:ascii="仿宋" w:hAnsi="仿宋" w:eastAsia="仿宋"/>
          <w:color w:val="auto"/>
          <w:sz w:val="32"/>
          <w:szCs w:val="32"/>
        </w:rPr>
        <w:t>%，主要是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生态环境保护专项资金减少</w:t>
      </w:r>
      <w:r>
        <w:rPr>
          <w:rFonts w:hint="eastAsia" w:ascii="仿宋" w:hAnsi="仿宋" w:eastAsia="仿宋"/>
          <w:color w:val="auto"/>
          <w:sz w:val="32"/>
          <w:szCs w:val="32"/>
        </w:rPr>
        <w:t>；城乡社区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14469</w:t>
      </w:r>
      <w:r>
        <w:rPr>
          <w:rFonts w:hint="eastAsia" w:ascii="仿宋" w:hAnsi="仿宋" w:eastAsia="仿宋"/>
          <w:color w:val="auto"/>
          <w:sz w:val="32"/>
          <w:szCs w:val="32"/>
        </w:rPr>
        <w:t>万元，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增</w:t>
      </w:r>
      <w:r>
        <w:rPr>
          <w:rFonts w:hint="eastAsia" w:ascii="仿宋" w:hAnsi="仿宋" w:eastAsia="仿宋"/>
          <w:color w:val="auto"/>
          <w:sz w:val="32"/>
          <w:szCs w:val="32"/>
        </w:rPr>
        <w:t>支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10029</w:t>
      </w:r>
      <w:r>
        <w:rPr>
          <w:rFonts w:hint="eastAsia" w:ascii="仿宋" w:hAnsi="仿宋" w:eastAsia="仿宋"/>
          <w:color w:val="auto"/>
          <w:sz w:val="32"/>
          <w:szCs w:val="32"/>
        </w:rPr>
        <w:t>万元，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增长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225.88</w:t>
      </w:r>
      <w:r>
        <w:rPr>
          <w:rFonts w:hint="eastAsia" w:ascii="仿宋" w:hAnsi="仿宋" w:eastAsia="仿宋"/>
          <w:color w:val="auto"/>
          <w:sz w:val="32"/>
          <w:szCs w:val="32"/>
        </w:rPr>
        <w:t>%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，主要是拨付乡村振兴债券资金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7400万元</w:t>
      </w:r>
      <w:r>
        <w:rPr>
          <w:rFonts w:hint="eastAsia" w:ascii="仿宋" w:hAnsi="仿宋" w:eastAsia="仿宋"/>
          <w:color w:val="auto"/>
          <w:sz w:val="32"/>
          <w:szCs w:val="32"/>
        </w:rPr>
        <w:t>；农林水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37087</w:t>
      </w:r>
      <w:r>
        <w:rPr>
          <w:rFonts w:hint="eastAsia" w:ascii="仿宋" w:hAnsi="仿宋" w:eastAsia="仿宋"/>
          <w:color w:val="auto"/>
          <w:sz w:val="32"/>
          <w:szCs w:val="32"/>
        </w:rPr>
        <w:t>万元，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减</w:t>
      </w:r>
      <w:r>
        <w:rPr>
          <w:rFonts w:hint="eastAsia" w:ascii="仿宋" w:hAnsi="仿宋" w:eastAsia="仿宋"/>
          <w:color w:val="auto"/>
          <w:sz w:val="32"/>
          <w:szCs w:val="32"/>
        </w:rPr>
        <w:t>支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20559</w:t>
      </w:r>
      <w:r>
        <w:rPr>
          <w:rFonts w:hint="eastAsia" w:ascii="仿宋" w:hAnsi="仿宋" w:eastAsia="仿宋"/>
          <w:color w:val="auto"/>
          <w:sz w:val="32"/>
          <w:szCs w:val="32"/>
        </w:rPr>
        <w:t>万元，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下降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35.66</w:t>
      </w:r>
      <w:r>
        <w:rPr>
          <w:rFonts w:hint="eastAsia" w:ascii="仿宋" w:hAnsi="仿宋" w:eastAsia="仿宋"/>
          <w:color w:val="auto"/>
          <w:sz w:val="32"/>
          <w:szCs w:val="32"/>
        </w:rPr>
        <w:t>%，主要是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上年</w:t>
      </w:r>
      <w:r>
        <w:rPr>
          <w:rFonts w:hint="eastAsia" w:ascii="仿宋" w:hAnsi="仿宋" w:eastAsia="仿宋"/>
          <w:color w:val="auto"/>
          <w:sz w:val="32"/>
          <w:szCs w:val="32"/>
        </w:rPr>
        <w:t>拨付扶贫专项债券资金15000万元；交通运输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5830</w:t>
      </w:r>
      <w:r>
        <w:rPr>
          <w:rFonts w:hint="eastAsia" w:ascii="仿宋" w:hAnsi="仿宋" w:eastAsia="仿宋"/>
          <w:color w:val="auto"/>
          <w:sz w:val="32"/>
          <w:szCs w:val="32"/>
        </w:rPr>
        <w:t>万元，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减</w:t>
      </w:r>
      <w:r>
        <w:rPr>
          <w:rFonts w:hint="eastAsia" w:ascii="仿宋" w:hAnsi="仿宋" w:eastAsia="仿宋"/>
          <w:color w:val="auto"/>
          <w:sz w:val="32"/>
          <w:szCs w:val="32"/>
        </w:rPr>
        <w:t>支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417</w:t>
      </w:r>
      <w:r>
        <w:rPr>
          <w:rFonts w:hint="eastAsia" w:ascii="仿宋" w:hAnsi="仿宋" w:eastAsia="仿宋"/>
          <w:color w:val="auto"/>
          <w:sz w:val="32"/>
          <w:szCs w:val="32"/>
        </w:rPr>
        <w:t>万元，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下降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6.68</w:t>
      </w:r>
      <w:r>
        <w:rPr>
          <w:rFonts w:hint="eastAsia" w:ascii="仿宋" w:hAnsi="仿宋" w:eastAsia="仿宋"/>
          <w:color w:val="auto"/>
          <w:sz w:val="32"/>
          <w:szCs w:val="32"/>
        </w:rPr>
        <w:t>%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，主要是农村公路专项资金减少</w:t>
      </w:r>
      <w:r>
        <w:rPr>
          <w:rFonts w:hint="eastAsia" w:ascii="仿宋" w:hAnsi="仿宋" w:eastAsia="仿宋"/>
          <w:color w:val="auto"/>
          <w:sz w:val="32"/>
          <w:szCs w:val="32"/>
        </w:rPr>
        <w:t>；资源勘探信息等支出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150</w:t>
      </w:r>
      <w:r>
        <w:rPr>
          <w:rFonts w:hint="eastAsia" w:ascii="仿宋" w:hAnsi="仿宋" w:eastAsia="仿宋"/>
          <w:color w:val="auto"/>
          <w:sz w:val="32"/>
          <w:szCs w:val="32"/>
        </w:rPr>
        <w:t>万元，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减</w:t>
      </w:r>
      <w:r>
        <w:rPr>
          <w:rFonts w:hint="eastAsia" w:ascii="仿宋" w:hAnsi="仿宋" w:eastAsia="仿宋"/>
          <w:color w:val="auto"/>
          <w:sz w:val="32"/>
          <w:szCs w:val="32"/>
        </w:rPr>
        <w:t>支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204</w:t>
      </w:r>
      <w:r>
        <w:rPr>
          <w:rFonts w:hint="eastAsia" w:ascii="仿宋" w:hAnsi="仿宋" w:eastAsia="仿宋"/>
          <w:color w:val="auto"/>
          <w:sz w:val="32"/>
          <w:szCs w:val="32"/>
        </w:rPr>
        <w:t>万元，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下降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57.63</w:t>
      </w:r>
      <w:r>
        <w:rPr>
          <w:rFonts w:hint="eastAsia" w:ascii="仿宋" w:hAnsi="仿宋" w:eastAsia="仿宋"/>
          <w:color w:val="auto"/>
          <w:sz w:val="32"/>
          <w:szCs w:val="32"/>
        </w:rPr>
        <w:t>%，主要是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上年拨付</w:t>
      </w:r>
      <w:r>
        <w:rPr>
          <w:rFonts w:hint="eastAsia" w:ascii="仿宋" w:hAnsi="仿宋" w:eastAsia="仿宋"/>
          <w:color w:val="auto"/>
          <w:sz w:val="32"/>
          <w:szCs w:val="32"/>
        </w:rPr>
        <w:t>中小企业复工复产补助；商业服务业等支出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624</w:t>
      </w:r>
      <w:r>
        <w:rPr>
          <w:rFonts w:hint="eastAsia" w:ascii="仿宋" w:hAnsi="仿宋" w:eastAsia="仿宋"/>
          <w:color w:val="auto"/>
          <w:sz w:val="32"/>
          <w:szCs w:val="32"/>
        </w:rPr>
        <w:t>万元，减支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18</w:t>
      </w:r>
      <w:r>
        <w:rPr>
          <w:rFonts w:hint="eastAsia" w:ascii="仿宋" w:hAnsi="仿宋" w:eastAsia="仿宋"/>
          <w:color w:val="auto"/>
          <w:sz w:val="32"/>
          <w:szCs w:val="32"/>
        </w:rPr>
        <w:t>万元，下降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2.80</w:t>
      </w:r>
      <w:r>
        <w:rPr>
          <w:rFonts w:hint="eastAsia" w:ascii="仿宋" w:hAnsi="仿宋" w:eastAsia="仿宋"/>
          <w:color w:val="auto"/>
          <w:sz w:val="32"/>
          <w:szCs w:val="32"/>
        </w:rPr>
        <w:t>%；自然资源海洋气象等支出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1297</w:t>
      </w:r>
      <w:r>
        <w:rPr>
          <w:rFonts w:hint="eastAsia" w:ascii="仿宋" w:hAnsi="仿宋" w:eastAsia="仿宋"/>
          <w:color w:val="auto"/>
          <w:sz w:val="32"/>
          <w:szCs w:val="32"/>
        </w:rPr>
        <w:t>万元，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增</w:t>
      </w:r>
      <w:r>
        <w:rPr>
          <w:rFonts w:hint="eastAsia" w:ascii="仿宋" w:hAnsi="仿宋" w:eastAsia="仿宋"/>
          <w:color w:val="auto"/>
          <w:sz w:val="32"/>
          <w:szCs w:val="32"/>
        </w:rPr>
        <w:t>支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733</w:t>
      </w:r>
      <w:r>
        <w:rPr>
          <w:rFonts w:hint="eastAsia" w:ascii="仿宋" w:hAnsi="仿宋" w:eastAsia="仿宋"/>
          <w:color w:val="auto"/>
          <w:sz w:val="32"/>
          <w:szCs w:val="32"/>
        </w:rPr>
        <w:t>万元，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增长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129.96</w:t>
      </w:r>
      <w:r>
        <w:rPr>
          <w:rFonts w:hint="eastAsia" w:ascii="仿宋" w:hAnsi="仿宋" w:eastAsia="仿宋"/>
          <w:color w:val="auto"/>
          <w:sz w:val="32"/>
          <w:szCs w:val="32"/>
        </w:rPr>
        <w:t>%，主要是拨付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国</w:t>
      </w:r>
      <w:r>
        <w:rPr>
          <w:rFonts w:hint="eastAsia" w:ascii="仿宋" w:hAnsi="仿宋" w:eastAsia="仿宋"/>
          <w:color w:val="auto"/>
          <w:sz w:val="32"/>
          <w:szCs w:val="32"/>
        </w:rPr>
        <w:t>土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空间规划</w:t>
      </w:r>
      <w:r>
        <w:rPr>
          <w:rFonts w:hint="eastAsia" w:ascii="仿宋" w:hAnsi="仿宋" w:eastAsia="仿宋"/>
          <w:color w:val="auto"/>
          <w:sz w:val="32"/>
          <w:szCs w:val="32"/>
        </w:rPr>
        <w:t>资金；住房保障支出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9081</w:t>
      </w:r>
      <w:r>
        <w:rPr>
          <w:rFonts w:hint="eastAsia" w:ascii="仿宋" w:hAnsi="仿宋" w:eastAsia="仿宋"/>
          <w:color w:val="auto"/>
          <w:sz w:val="32"/>
          <w:szCs w:val="32"/>
        </w:rPr>
        <w:t>万元，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减</w:t>
      </w:r>
      <w:r>
        <w:rPr>
          <w:rFonts w:hint="eastAsia" w:ascii="仿宋" w:hAnsi="仿宋" w:eastAsia="仿宋"/>
          <w:color w:val="auto"/>
          <w:sz w:val="32"/>
          <w:szCs w:val="32"/>
        </w:rPr>
        <w:t>支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1327</w:t>
      </w:r>
      <w:r>
        <w:rPr>
          <w:rFonts w:hint="eastAsia" w:ascii="仿宋" w:hAnsi="仿宋" w:eastAsia="仿宋"/>
          <w:color w:val="auto"/>
          <w:sz w:val="32"/>
          <w:szCs w:val="32"/>
        </w:rPr>
        <w:t>万元，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下降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12.75</w:t>
      </w:r>
      <w:r>
        <w:rPr>
          <w:rFonts w:hint="eastAsia" w:ascii="仿宋" w:hAnsi="仿宋" w:eastAsia="仿宋"/>
          <w:color w:val="auto"/>
          <w:sz w:val="32"/>
          <w:szCs w:val="32"/>
        </w:rPr>
        <w:t>%，主要是保障性安居工程专项资金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减少</w:t>
      </w:r>
      <w:r>
        <w:rPr>
          <w:rFonts w:hint="eastAsia" w:ascii="仿宋" w:hAnsi="仿宋" w:eastAsia="仿宋"/>
          <w:color w:val="auto"/>
          <w:sz w:val="32"/>
          <w:szCs w:val="32"/>
        </w:rPr>
        <w:t>；粮油物资储备支出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93</w:t>
      </w:r>
      <w:r>
        <w:rPr>
          <w:rFonts w:hint="eastAsia" w:ascii="仿宋" w:hAnsi="仿宋" w:eastAsia="仿宋"/>
          <w:color w:val="auto"/>
          <w:sz w:val="32"/>
          <w:szCs w:val="32"/>
        </w:rPr>
        <w:t>万元，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减</w:t>
      </w:r>
      <w:r>
        <w:rPr>
          <w:rFonts w:hint="eastAsia" w:ascii="仿宋" w:hAnsi="仿宋" w:eastAsia="仿宋"/>
          <w:color w:val="auto"/>
          <w:sz w:val="32"/>
          <w:szCs w:val="32"/>
        </w:rPr>
        <w:t>支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232</w:t>
      </w:r>
      <w:r>
        <w:rPr>
          <w:rFonts w:hint="eastAsia" w:ascii="仿宋" w:hAnsi="仿宋" w:eastAsia="仿宋"/>
          <w:color w:val="auto"/>
          <w:sz w:val="32"/>
          <w:szCs w:val="32"/>
        </w:rPr>
        <w:t>万元，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下降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71.38</w:t>
      </w:r>
      <w:r>
        <w:rPr>
          <w:rFonts w:hint="eastAsia" w:ascii="仿宋" w:hAnsi="仿宋" w:eastAsia="仿宋"/>
          <w:color w:val="auto"/>
          <w:sz w:val="32"/>
          <w:szCs w:val="32"/>
        </w:rPr>
        <w:t>%，主要是应急物资储备专项资金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减少</w:t>
      </w:r>
      <w:r>
        <w:rPr>
          <w:rFonts w:hint="eastAsia" w:ascii="仿宋" w:hAnsi="仿宋" w:eastAsia="仿宋"/>
          <w:color w:val="auto"/>
          <w:sz w:val="32"/>
          <w:szCs w:val="32"/>
        </w:rPr>
        <w:t>；灾害防治及应急管理支出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441</w:t>
      </w:r>
      <w:r>
        <w:rPr>
          <w:rFonts w:hint="eastAsia" w:ascii="仿宋" w:hAnsi="仿宋" w:eastAsia="仿宋"/>
          <w:color w:val="auto"/>
          <w:sz w:val="32"/>
          <w:szCs w:val="32"/>
        </w:rPr>
        <w:t>万元，减支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518</w:t>
      </w:r>
      <w:r>
        <w:rPr>
          <w:rFonts w:hint="eastAsia" w:ascii="仿宋" w:hAnsi="仿宋" w:eastAsia="仿宋"/>
          <w:color w:val="auto"/>
          <w:sz w:val="32"/>
          <w:szCs w:val="32"/>
        </w:rPr>
        <w:t>万元，下降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54.01</w:t>
      </w:r>
      <w:r>
        <w:rPr>
          <w:rFonts w:hint="eastAsia" w:ascii="仿宋" w:hAnsi="仿宋" w:eastAsia="仿宋"/>
          <w:color w:val="auto"/>
          <w:sz w:val="32"/>
          <w:szCs w:val="32"/>
        </w:rPr>
        <w:t>%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，灾害救治专项资金减少</w:t>
      </w:r>
      <w:r>
        <w:rPr>
          <w:rFonts w:hint="eastAsia" w:ascii="仿宋" w:hAnsi="仿宋" w:eastAsia="仿宋"/>
          <w:color w:val="auto"/>
          <w:sz w:val="32"/>
          <w:szCs w:val="32"/>
        </w:rPr>
        <w:t>；其他支出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450</w:t>
      </w:r>
      <w:r>
        <w:rPr>
          <w:rFonts w:hint="eastAsia" w:ascii="仿宋" w:hAnsi="仿宋" w:eastAsia="仿宋"/>
          <w:color w:val="auto"/>
          <w:sz w:val="32"/>
          <w:szCs w:val="32"/>
        </w:rPr>
        <w:t>万元，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减</w:t>
      </w:r>
      <w:r>
        <w:rPr>
          <w:rFonts w:hint="eastAsia" w:ascii="仿宋" w:hAnsi="仿宋" w:eastAsia="仿宋"/>
          <w:color w:val="auto"/>
          <w:sz w:val="32"/>
          <w:szCs w:val="32"/>
        </w:rPr>
        <w:t>支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1988</w:t>
      </w:r>
      <w:r>
        <w:rPr>
          <w:rFonts w:hint="eastAsia" w:ascii="仿宋" w:hAnsi="仿宋" w:eastAsia="仿宋"/>
          <w:color w:val="auto"/>
          <w:sz w:val="32"/>
          <w:szCs w:val="32"/>
        </w:rPr>
        <w:t>万元，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下降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81.54</w:t>
      </w:r>
      <w:r>
        <w:rPr>
          <w:rFonts w:hint="eastAsia" w:ascii="仿宋" w:hAnsi="仿宋" w:eastAsia="仿宋"/>
          <w:color w:val="auto"/>
          <w:sz w:val="32"/>
          <w:szCs w:val="32"/>
        </w:rPr>
        <w:t>%；债务付息支出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7195</w:t>
      </w:r>
      <w:r>
        <w:rPr>
          <w:rFonts w:hint="eastAsia" w:ascii="仿宋" w:hAnsi="仿宋" w:eastAsia="仿宋"/>
          <w:color w:val="auto"/>
          <w:sz w:val="32"/>
          <w:szCs w:val="32"/>
        </w:rPr>
        <w:t>万元，增支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1088</w:t>
      </w:r>
      <w:r>
        <w:rPr>
          <w:rFonts w:hint="eastAsia" w:ascii="仿宋" w:hAnsi="仿宋" w:eastAsia="仿宋"/>
          <w:color w:val="auto"/>
          <w:sz w:val="32"/>
          <w:szCs w:val="32"/>
        </w:rPr>
        <w:t>万元，增长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17.82</w:t>
      </w:r>
      <w:r>
        <w:rPr>
          <w:rFonts w:hint="eastAsia" w:ascii="仿宋" w:hAnsi="仿宋" w:eastAsia="仿宋"/>
          <w:color w:val="auto"/>
          <w:sz w:val="32"/>
          <w:szCs w:val="32"/>
        </w:rPr>
        <w:t>%，债务发行费用支出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37</w:t>
      </w:r>
      <w:r>
        <w:rPr>
          <w:rFonts w:hint="eastAsia" w:ascii="仿宋" w:hAnsi="仿宋" w:eastAsia="仿宋"/>
          <w:color w:val="auto"/>
          <w:sz w:val="32"/>
          <w:szCs w:val="32"/>
        </w:rPr>
        <w:t>万元，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减</w:t>
      </w:r>
      <w:r>
        <w:rPr>
          <w:rFonts w:hint="eastAsia" w:ascii="仿宋" w:hAnsi="仿宋" w:eastAsia="仿宋"/>
          <w:color w:val="auto"/>
          <w:sz w:val="32"/>
          <w:szCs w:val="32"/>
        </w:rPr>
        <w:t>支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31</w:t>
      </w:r>
      <w:r>
        <w:rPr>
          <w:rFonts w:hint="eastAsia" w:ascii="仿宋" w:hAnsi="仿宋" w:eastAsia="仿宋"/>
          <w:color w:val="auto"/>
          <w:sz w:val="32"/>
          <w:szCs w:val="32"/>
        </w:rPr>
        <w:t>万元，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下降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45.59</w:t>
      </w:r>
      <w:r>
        <w:rPr>
          <w:rFonts w:hint="eastAsia" w:ascii="仿宋" w:hAnsi="仿宋" w:eastAsia="仿宋"/>
          <w:color w:val="auto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总体来看，2021年决算情况总体较好，但是也面临许多困难和问题：从财政收入看，一是财政收入增收乏力。我县税收主要依赖于资源性企业，经济结构单一，财政收入增长支撑乏力,经济发展缺乏活力,同时受一次性因素拉动较大,并非受益于经济增长拉动，财政增收后劲不足。二是财政收入结构有待优化。2021年税收占财政收入的比重为61%，比 2020年提高6个百分点。从财政支出看，受减税降费政策持续加力、支持经济社会发展、兜牢基层“三保”底线、政府债券还本付息等刚性支出有增无减，财政收支矛盾十分突出，财政“紧运行”态势十分明显。对此，我们将高度重视，有针对性地采取有力举措，努力提升财政管理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一是进一步加强财政收支管理。加强收入调度和税费征管，确保财政收入持续稳定增长，提高税收占比优化财政收入结构。加大财政资源统筹力度，增强财政综合保障能力。严格落实政府带头过紧日子各项要求，严把预算支出关口，严格控制预算追加，大力压减一般性支出。常态化实施财政资金直达机制，保障直达资金惠企利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二是进一步落实好促进高质量发展的财政政策。坚决落实各项减税降费措施，进一步减轻企业特别是中小微企业负担，激发市场主体活力。管好用好政府债券资金，保障重大项目建设资金需求。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三是进一步增进民生福祉。聚焦群众所需所盼，进一步加大民生投入力度，集中财力保障好疫情防控、就业、医疗、养老等重点民生支出，推动重点民生实事落地见效。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四是进一步深化财政改革管理。盘活行政事业性国有资产，进一步优化财政资源配置。完善财力保障、库款运筹等机制，切实兜牢基层“三保”底线。健全政府举债融资和债务化解机制，严防发生债务风险，确保政府债务率稳定在合理区间。扎实做好审计问题整改，加大财会监督力度，维护财经法纪的严肃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/>
          <w:color w:val="auto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TRmZDgxNGVhMzM0MDkyZWU3NzFjYTM5NmU3ZjE5MmUifQ=="/>
  </w:docVars>
  <w:rsids>
    <w:rsidRoot w:val="00010486"/>
    <w:rsid w:val="00010486"/>
    <w:rsid w:val="00BC7766"/>
    <w:rsid w:val="10345B95"/>
    <w:rsid w:val="479C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7"/>
    <w:qFormat/>
    <w:uiPriority w:val="0"/>
    <w:pPr>
      <w:tabs>
        <w:tab w:val="left" w:pos="18375"/>
      </w:tabs>
      <w:spacing w:line="520" w:lineRule="atLeast"/>
      <w:ind w:right="-612"/>
    </w:pPr>
    <w:rPr>
      <w:rFonts w:hint="eastAsia" w:ascii="仿宋_GB2312" w:eastAsia="仿宋_GB2312"/>
      <w:sz w:val="32"/>
      <w:szCs w:val="20"/>
    </w:rPr>
  </w:style>
  <w:style w:type="paragraph" w:styleId="3">
    <w:name w:val="Body Text Indent 2"/>
    <w:basedOn w:val="1"/>
    <w:link w:val="8"/>
    <w:unhideWhenUsed/>
    <w:qFormat/>
    <w:uiPriority w:val="99"/>
    <w:pPr>
      <w:spacing w:after="120" w:line="480" w:lineRule="auto"/>
      <w:ind w:left="420" w:leftChars="200"/>
    </w:pPr>
  </w:style>
  <w:style w:type="paragraph" w:styleId="4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character" w:customStyle="1" w:styleId="7">
    <w:name w:val="正文文本 Char"/>
    <w:basedOn w:val="6"/>
    <w:link w:val="2"/>
    <w:qFormat/>
    <w:uiPriority w:val="0"/>
    <w:rPr>
      <w:rFonts w:ascii="仿宋_GB2312" w:hAnsi="Times New Roman" w:eastAsia="仿宋_GB2312" w:cs="Times New Roman"/>
      <w:sz w:val="32"/>
      <w:szCs w:val="20"/>
    </w:rPr>
  </w:style>
  <w:style w:type="character" w:customStyle="1" w:styleId="8">
    <w:name w:val="正文文本缩进 2 Char"/>
    <w:basedOn w:val="6"/>
    <w:link w:val="3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9">
    <w:name w:val="font21"/>
    <w:basedOn w:val="6"/>
    <w:uiPriority w:val="0"/>
    <w:rPr>
      <w:rFonts w:hint="eastAsia" w:ascii="宋体" w:hAnsi="宋体" w:eastAsia="宋体" w:cs="宋体"/>
      <w:b/>
      <w:bCs/>
      <w:color w:val="000000"/>
      <w:sz w:val="18"/>
      <w:szCs w:val="18"/>
      <w:u w:val="none"/>
    </w:rPr>
  </w:style>
  <w:style w:type="character" w:customStyle="1" w:styleId="10">
    <w:name w:val="font11"/>
    <w:basedOn w:val="6"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10</Pages>
  <Words>761</Words>
  <Characters>4340</Characters>
  <Lines>36</Lines>
  <Paragraphs>10</Paragraphs>
  <TotalTime>49</TotalTime>
  <ScaleCrop>false</ScaleCrop>
  <LinksUpToDate>false</LinksUpToDate>
  <CharactersWithSpaces>5091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2021-10-09T14:13:00Z</dcterms:created>
  <dc:creator>dreamsummit</dc:creator>
  <cp:lastModifiedBy>王玉英</cp:lastModifiedBy>
  <dcterms:modified xsi:type="dcterms:W3CDTF">2022-08-21T15:25:04Z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DA8FD30D4D8447138CDA3A0D9132B94F</vt:lpwstr>
  </property>
</Properties>
</file>