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7" w:line="360" w:lineRule="auto"/>
        <w:ind w:right="379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36"/>
          <w:szCs w:val="36"/>
          <w:lang w:val="zh-TW" w:eastAsia="zh-TW"/>
        </w:rPr>
      </w:pPr>
      <w:bookmarkStart w:id="0" w:name="bookmark3"/>
      <w:bookmarkStart w:id="1" w:name="bookmark5"/>
      <w:bookmarkStart w:id="2" w:name="bookmark4"/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36"/>
          <w:szCs w:val="36"/>
        </w:rPr>
        <w:t>关于</w:t>
      </w:r>
      <w:bookmarkEnd w:id="0"/>
      <w:bookmarkEnd w:id="1"/>
      <w:bookmarkEnd w:id="2"/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36"/>
          <w:szCs w:val="36"/>
          <w:lang w:val="en-US" w:eastAsia="zh-CN"/>
        </w:rPr>
        <w:t>尼勒克县中央提前下达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36"/>
          <w:szCs w:val="36"/>
          <w:lang w:val="zh-TW" w:eastAsia="zh-TW"/>
        </w:rPr>
        <w:t>财政衔接推进乡村振兴补助资金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36"/>
          <w:szCs w:val="36"/>
          <w:lang w:val="en-US" w:eastAsia="zh-CN"/>
        </w:rPr>
        <w:t>项目变更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36"/>
          <w:szCs w:val="36"/>
        </w:rPr>
        <w:t>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after="181" w:afterLines="50"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TW" w:bidi="zh-TW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TW" w:bidi="zh-TW"/>
        </w:rPr>
        <w:t>根据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</w:rPr>
        <w:t>自治州财政下发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TW" w:bidi="zh-TW"/>
        </w:rPr>
        <w:t>《关于提前下达202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</w:rPr>
        <w:t>5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TW" w:bidi="zh-TW"/>
        </w:rPr>
        <w:t>年中央财政衔接推进乡村振兴补助资金预算的通知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》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TW" w:bidi="zh-TW"/>
        </w:rPr>
        <w:t>(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伊州财农〔202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〕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  <w:lang w:val="en-US" w:eastAsia="zh-CN"/>
        </w:rPr>
        <w:t>52</w:t>
      </w:r>
      <w:r>
        <w:rPr>
          <w:rFonts w:hint="eastAsia" w:asciiTheme="minorEastAsia" w:hAnsiTheme="minorEastAsia" w:eastAsiaTheme="minorEastAsia" w:cstheme="minorEastAsia"/>
          <w:spacing w:val="-7"/>
          <w:sz w:val="28"/>
          <w:szCs w:val="28"/>
        </w:rPr>
        <w:t>号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</w:rPr>
        <w:t>文件精神,结合我县实际,一是将原安排尼勒克县喀拉苏乡农产品加工园区保鲜库建设项目1700万元,资金1100万元调整到尼勒克县喀拉苏乡农产品加工园区建设项目；资金600万元调整到2025年尼勒克县产业帮扶精准到户项目(三)457.65万元,尼勒克县2025年农村户厕补助项目142.35万元；二是喀拉托别乡实施尼勒克县喀拉托别乡牧道建设项目(一期),目前已完工,纯结余资金29824.85元,指标调整至:1、尼勒克县委统战部2025年困难群众饮用低氟边销茶项目9100元；2、农业农村局2025年产业帮扶精准到户项目20724.85元。三是尼勒克县喀拉托别乡塔斯卓勒村2025年庭院灌溉渠建设项目，目前已完工，纯结余资金6521.25元,调整至农业农村局2025年产业帮扶精准到户项目。</w:t>
      </w:r>
    </w:p>
    <w:p>
      <w:pPr>
        <w:spacing w:before="136" w:line="219" w:lineRule="auto"/>
        <w:ind w:firstLine="280" w:firstLineChars="100"/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TW" w:bidi="zh-TW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TW" w:bidi="zh-TW"/>
        </w:rPr>
        <w:t>附件 ∶1.</w:t>
      </w:r>
      <w:r>
        <w:rPr>
          <w:rFonts w:hint="eastAsia" w:asciiTheme="minorEastAsia" w:hAnsiTheme="minorEastAsia" w:eastAsiaTheme="minorEastAsia" w:cstheme="minorEastAsia"/>
          <w:spacing w:val="-9"/>
          <w:w w:val="96"/>
          <w:sz w:val="28"/>
          <w:szCs w:val="28"/>
          <w:lang w:val="en-US" w:eastAsia="zh-CN"/>
        </w:rPr>
        <w:t>尼勒克县2025</w:t>
      </w:r>
      <w:r>
        <w:rPr>
          <w:rFonts w:hint="eastAsia" w:asciiTheme="minorEastAsia" w:hAnsiTheme="minorEastAsia" w:eastAsiaTheme="minorEastAsia" w:cstheme="minorEastAsia"/>
          <w:spacing w:val="-9"/>
          <w:w w:val="96"/>
          <w:sz w:val="28"/>
          <w:szCs w:val="28"/>
          <w:lang w:val="zh-TW" w:eastAsia="zh-TW"/>
        </w:rPr>
        <w:t>年自治区财政衔接推进乡村振兴补助资金</w:t>
      </w:r>
      <w:r>
        <w:rPr>
          <w:rFonts w:hint="eastAsia" w:asciiTheme="minorEastAsia" w:hAnsiTheme="minorEastAsia" w:eastAsiaTheme="minorEastAsia" w:cstheme="minorEastAsia"/>
          <w:spacing w:val="-9"/>
          <w:w w:val="96"/>
          <w:sz w:val="28"/>
          <w:szCs w:val="28"/>
          <w:lang w:val="en-US" w:eastAsia="zh-CN"/>
        </w:rPr>
        <w:t>项目变更</w:t>
      </w:r>
      <w:r>
        <w:rPr>
          <w:rFonts w:hint="eastAsia" w:asciiTheme="minorEastAsia" w:hAnsiTheme="minorEastAsia" w:eastAsiaTheme="minorEastAsia" w:cstheme="minorEastAsia"/>
          <w:spacing w:val="-9"/>
          <w:w w:val="96"/>
          <w:sz w:val="28"/>
          <w:szCs w:val="28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eastAsia="zh-CN"/>
        </w:rPr>
        <w:t>尼勒克县财政局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</w:t>
      </w:r>
      <w:bookmarkStart w:id="3" w:name="_GoBack"/>
      <w:bookmarkEnd w:id="3"/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2025年9月16日</w:t>
      </w:r>
    </w:p>
    <w:p>
      <w:pP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20"/>
        <w:jc w:val="left"/>
        <w:rPr>
          <w:sz w:val="21"/>
          <w:szCs w:val="21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附件：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1"/>
          <w:szCs w:val="21"/>
        </w:rPr>
        <w:t>1</w:t>
      </w:r>
    </w:p>
    <w:p>
      <w:pPr>
        <w:spacing w:before="136" w:line="219" w:lineRule="auto"/>
        <w:ind w:firstLine="270" w:firstLineChars="1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pacing w:val="-9"/>
          <w:w w:val="96"/>
          <w:sz w:val="30"/>
          <w:szCs w:val="30"/>
          <w:lang w:val="en-US" w:eastAsia="zh-CN"/>
        </w:rPr>
        <w:t>尼勒克县2025</w:t>
      </w:r>
      <w:r>
        <w:rPr>
          <w:rFonts w:hint="eastAsia" w:ascii="宋体" w:hAnsi="宋体" w:eastAsia="宋体" w:cs="宋体"/>
          <w:spacing w:val="-9"/>
          <w:w w:val="96"/>
          <w:sz w:val="30"/>
          <w:szCs w:val="30"/>
          <w:lang w:val="zh-TW" w:eastAsia="zh-TW"/>
        </w:rPr>
        <w:t>年自治区财政衔接推进乡村振兴补助资金</w:t>
      </w:r>
      <w:r>
        <w:rPr>
          <w:rFonts w:hint="eastAsia" w:ascii="宋体" w:hAnsi="宋体" w:eastAsia="宋体" w:cs="宋体"/>
          <w:spacing w:val="-9"/>
          <w:w w:val="96"/>
          <w:sz w:val="30"/>
          <w:szCs w:val="30"/>
          <w:lang w:val="en-US" w:eastAsia="zh-CN"/>
        </w:rPr>
        <w:t>项目变更</w:t>
      </w:r>
      <w:r>
        <w:rPr>
          <w:rFonts w:ascii="宋体" w:hAnsi="宋体" w:eastAsia="宋体" w:cs="宋体"/>
          <w:spacing w:val="-9"/>
          <w:w w:val="96"/>
          <w:sz w:val="30"/>
          <w:szCs w:val="30"/>
        </w:rPr>
        <w:t>表</w:t>
      </w:r>
    </w:p>
    <w:p>
      <w:pPr>
        <w:spacing w:before="73" w:line="220" w:lineRule="auto"/>
        <w:ind w:left="0" w:leftChars="0" w:firstLine="6720" w:firstLineChars="4000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pacing w:val="-6"/>
          <w:sz w:val="18"/>
          <w:szCs w:val="18"/>
          <w:lang w:val="en-US" w:eastAsia="zh-CN"/>
        </w:rPr>
        <w:t xml:space="preserve">         </w:t>
      </w:r>
      <w:r>
        <w:rPr>
          <w:rFonts w:ascii="宋体" w:hAnsi="宋体" w:eastAsia="宋体" w:cs="宋体"/>
          <w:spacing w:val="-6"/>
          <w:sz w:val="18"/>
          <w:szCs w:val="18"/>
        </w:rPr>
        <w:t>单位∶万元</w:t>
      </w:r>
    </w:p>
    <w:tbl>
      <w:tblPr>
        <w:tblStyle w:val="4"/>
        <w:tblpPr w:leftFromText="180" w:rightFromText="180" w:vertAnchor="text" w:horzAnchor="page" w:tblpX="1776" w:tblpY="127"/>
        <w:tblOverlap w:val="never"/>
        <w:tblW w:w="8588" w:type="dxa"/>
        <w:tblInd w:w="0" w:type="dxa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2263"/>
        <w:gridCol w:w="2730"/>
        <w:gridCol w:w="1380"/>
        <w:gridCol w:w="1735"/>
      </w:tblGrid>
      <w:tr>
        <w:tblPrEx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2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7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投资规模</w:t>
            </w:r>
          </w:p>
        </w:tc>
        <w:tc>
          <w:tcPr>
            <w:tcW w:w="173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2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7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3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尼勒克县喀拉苏乡农产品加工园区保险库建设项目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喀拉苏乡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-1700</w:t>
            </w: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喀拉苏乡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尼勒克县喀拉苏乡农产品加工园区建设项目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喀拉苏乡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1100</w:t>
            </w: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喀拉苏乡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尼勒克县2025年推动产业帮扶精准到户项目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(三)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457.65</w:t>
            </w: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尼勒克县2025年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农村户厕补助资金项目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142.35</w:t>
            </w: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尼勒克县喀拉托别乡牧道建设项目(一期)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喀拉托别乡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-2.982485</w:t>
            </w: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喀拉托别乡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尼勒克县2025年困难群众饮用低氟边销茶项目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尼勒克县11乡镇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0.91</w:t>
            </w: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民宗局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尼勒克县2025年推动产业帮扶精准到户项目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2.072485</w:t>
            </w: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尼勒克县喀拉托别乡塔斯卓勒村2025年庭院灌溉渠建设项目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喀拉托别乡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-0.652125</w:t>
            </w: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喀拉托别乡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尼勒克县2025年推动产业帮扶精准到户项目</w:t>
            </w:r>
          </w:p>
        </w:tc>
        <w:tc>
          <w:tcPr>
            <w:tcW w:w="2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0.652125</w:t>
            </w:r>
          </w:p>
        </w:tc>
        <w:tc>
          <w:tcPr>
            <w:tcW w:w="17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农业农村局</w:t>
            </w:r>
          </w:p>
        </w:tc>
      </w:tr>
    </w:tbl>
    <w:p>
      <w:pPr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74DDA"/>
    <w:rsid w:val="1B290CBB"/>
    <w:rsid w:val="223D1B64"/>
    <w:rsid w:val="2E473062"/>
    <w:rsid w:val="3C101609"/>
    <w:rsid w:val="5A5B0802"/>
    <w:rsid w:val="5DA01308"/>
    <w:rsid w:val="5FF1111B"/>
    <w:rsid w:val="6B6C0A5E"/>
    <w:rsid w:val="711E1290"/>
    <w:rsid w:val="7887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after="60"/>
      <w:ind w:firstLine="260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2025-09-28T03:09:00Z</dcterms:created>
  <dc:creator>Administrator</dc:creator>
  <cp:lastModifiedBy>Administrator</cp:lastModifiedBy>
  <cp:lastPrinted>2025-09-28T11:09:00Z</cp:lastPrinted>
  <dcterms:modified xsi:type="dcterms:W3CDTF">2025-09-30T04:02:54Z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