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i w:val="0"/>
          <w:caps w:val="0"/>
          <w:color w:val="666666"/>
          <w:spacing w:val="0"/>
          <w:sz w:val="44"/>
          <w:szCs w:val="44"/>
          <w:shd w:val="clear" w:fill="FFFFFF"/>
        </w:rPr>
        <w:t>关于202</w:t>
      </w:r>
      <w:r>
        <w:rPr>
          <w:rFonts w:hint="eastAsia" w:ascii="仿宋_GB2312" w:hAnsi="仿宋_GB2312" w:eastAsia="仿宋_GB2312" w:cs="仿宋_GB2312"/>
          <w:b/>
          <w:bCs/>
          <w:i w:val="0"/>
          <w:caps w:val="0"/>
          <w:color w:val="666666"/>
          <w:spacing w:val="0"/>
          <w:sz w:val="44"/>
          <w:szCs w:val="44"/>
          <w:shd w:val="clear" w:fill="FFFFFF"/>
          <w:lang w:val="en-US" w:eastAsia="zh-CN"/>
        </w:rPr>
        <w:t>5</w:t>
      </w:r>
      <w:r>
        <w:rPr>
          <w:rFonts w:hint="eastAsia" w:ascii="仿宋_GB2312" w:hAnsi="仿宋_GB2312" w:eastAsia="仿宋_GB2312" w:cs="仿宋_GB2312"/>
          <w:b/>
          <w:bCs/>
          <w:i w:val="0"/>
          <w:caps w:val="0"/>
          <w:color w:val="666666"/>
          <w:spacing w:val="0"/>
          <w:sz w:val="44"/>
          <w:szCs w:val="44"/>
          <w:shd w:val="clear" w:fill="FFFFFF"/>
        </w:rPr>
        <w:t>年中央下达财政衔接推进乡村振兴补助资金安排使用情况</w:t>
      </w:r>
    </w:p>
    <w:p>
      <w:pPr>
        <w:rPr>
          <w:rFonts w:hint="eastAsia"/>
        </w:rPr>
      </w:pPr>
    </w:p>
    <w:p>
      <w:pPr>
        <w:ind w:firstLine="640" w:firstLineChars="200"/>
        <w:rPr>
          <w:rFonts w:hint="eastAsia"/>
          <w:sz w:val="32"/>
          <w:szCs w:val="32"/>
        </w:rPr>
      </w:pPr>
      <w:r>
        <w:rPr>
          <w:rFonts w:hint="eastAsia"/>
          <w:sz w:val="32"/>
          <w:szCs w:val="32"/>
        </w:rPr>
        <w:t>202</w:t>
      </w:r>
      <w:r>
        <w:rPr>
          <w:rFonts w:hint="eastAsia"/>
          <w:sz w:val="32"/>
          <w:szCs w:val="32"/>
          <w:lang w:val="en-US" w:eastAsia="zh-CN"/>
        </w:rPr>
        <w:t>5</w:t>
      </w:r>
      <w:r>
        <w:rPr>
          <w:rFonts w:hint="eastAsia"/>
          <w:sz w:val="32"/>
          <w:szCs w:val="32"/>
        </w:rPr>
        <w:t>年中央下达我县财政衔接推进乡村振兴补助资金为</w:t>
      </w:r>
      <w:r>
        <w:rPr>
          <w:rFonts w:hint="eastAsia"/>
          <w:sz w:val="32"/>
          <w:szCs w:val="32"/>
          <w:lang w:val="en-US" w:eastAsia="zh-CN"/>
        </w:rPr>
        <w:t>1270</w:t>
      </w:r>
      <w:r>
        <w:rPr>
          <w:rFonts w:hint="eastAsia"/>
          <w:sz w:val="32"/>
          <w:szCs w:val="32"/>
        </w:rPr>
        <w:t>万元，根据《新疆维吾尔自治区扶贫资金项目公告公示制度实施办法》的要求，按照《</w:t>
      </w:r>
      <w:r>
        <w:rPr>
          <w:rFonts w:hint="eastAsia"/>
          <w:sz w:val="32"/>
          <w:szCs w:val="32"/>
          <w:lang w:eastAsia="zh-CN"/>
        </w:rPr>
        <w:t>关于尼勒克</w:t>
      </w:r>
      <w:r>
        <w:rPr>
          <w:rFonts w:hint="eastAsia"/>
          <w:sz w:val="32"/>
          <w:szCs w:val="32"/>
        </w:rPr>
        <w:t>县202</w:t>
      </w:r>
      <w:r>
        <w:rPr>
          <w:rFonts w:hint="eastAsia"/>
          <w:sz w:val="32"/>
          <w:szCs w:val="32"/>
          <w:lang w:val="en-US" w:eastAsia="zh-CN"/>
        </w:rPr>
        <w:t>5</w:t>
      </w:r>
      <w:r>
        <w:rPr>
          <w:rFonts w:hint="eastAsia"/>
          <w:sz w:val="32"/>
          <w:szCs w:val="32"/>
        </w:rPr>
        <w:t>年中央财政衔接推进乡村振兴补助资金项目</w:t>
      </w:r>
      <w:r>
        <w:rPr>
          <w:rFonts w:hint="eastAsia"/>
          <w:sz w:val="32"/>
          <w:szCs w:val="32"/>
          <w:lang w:eastAsia="zh-CN"/>
        </w:rPr>
        <w:t>备案</w:t>
      </w:r>
      <w:r>
        <w:rPr>
          <w:rFonts w:hint="eastAsia"/>
          <w:sz w:val="32"/>
          <w:szCs w:val="32"/>
        </w:rPr>
        <w:t>批复》，现将有关资金安排使用情况公示如下：</w:t>
      </w:r>
    </w:p>
    <w:p>
      <w:pPr>
        <w:numPr>
          <w:ilvl w:val="0"/>
          <w:numId w:val="1"/>
        </w:numPr>
        <w:rPr>
          <w:rFonts w:hint="eastAsia"/>
          <w:sz w:val="32"/>
          <w:szCs w:val="32"/>
        </w:rPr>
      </w:pPr>
      <w:r>
        <w:rPr>
          <w:rFonts w:hint="eastAsia"/>
          <w:sz w:val="32"/>
          <w:szCs w:val="32"/>
        </w:rPr>
        <w:t>资金来源：</w:t>
      </w:r>
    </w:p>
    <w:p>
      <w:pPr>
        <w:numPr>
          <w:ilvl w:val="0"/>
          <w:numId w:val="0"/>
        </w:numPr>
        <w:ind w:firstLine="640" w:firstLineChars="200"/>
        <w:rPr>
          <w:rFonts w:hint="eastAsia"/>
          <w:sz w:val="32"/>
          <w:szCs w:val="32"/>
        </w:rPr>
      </w:pPr>
      <w:r>
        <w:rPr>
          <w:rFonts w:hint="eastAsia"/>
          <w:sz w:val="32"/>
          <w:szCs w:val="32"/>
        </w:rPr>
        <w:t>202</w:t>
      </w:r>
      <w:r>
        <w:rPr>
          <w:rFonts w:hint="eastAsia"/>
          <w:sz w:val="32"/>
          <w:szCs w:val="32"/>
          <w:lang w:val="en-US" w:eastAsia="zh-CN"/>
        </w:rPr>
        <w:t>5</w:t>
      </w:r>
      <w:r>
        <w:rPr>
          <w:rFonts w:hint="eastAsia"/>
          <w:sz w:val="32"/>
          <w:szCs w:val="32"/>
        </w:rPr>
        <w:t>年中央下达财政衔接推进乡村振兴补助资金为</w:t>
      </w:r>
      <w:r>
        <w:rPr>
          <w:rFonts w:hint="eastAsia"/>
          <w:sz w:val="32"/>
          <w:szCs w:val="32"/>
          <w:lang w:val="en-US" w:eastAsia="zh-CN"/>
        </w:rPr>
        <w:t>1270</w:t>
      </w:r>
      <w:r>
        <w:rPr>
          <w:rFonts w:hint="eastAsia"/>
          <w:sz w:val="32"/>
          <w:szCs w:val="32"/>
        </w:rPr>
        <w:t>万元。其中：巩固拓展脱贫攻坚成果和乡村振兴任务资金</w:t>
      </w:r>
      <w:r>
        <w:rPr>
          <w:rFonts w:hint="eastAsia"/>
          <w:sz w:val="32"/>
          <w:szCs w:val="32"/>
          <w:lang w:val="en-US" w:eastAsia="zh-CN"/>
        </w:rPr>
        <w:t>1270</w:t>
      </w:r>
      <w:r>
        <w:rPr>
          <w:rFonts w:hint="eastAsia"/>
          <w:sz w:val="32"/>
          <w:szCs w:val="32"/>
        </w:rPr>
        <w:t>万元。</w:t>
      </w:r>
    </w:p>
    <w:p>
      <w:pPr>
        <w:rPr>
          <w:rFonts w:hint="eastAsia"/>
          <w:sz w:val="32"/>
          <w:szCs w:val="32"/>
        </w:rPr>
      </w:pPr>
      <w:r>
        <w:rPr>
          <w:rFonts w:hint="eastAsia"/>
          <w:sz w:val="32"/>
          <w:szCs w:val="32"/>
        </w:rPr>
        <w:t>二、资金安排使用原则</w:t>
      </w:r>
    </w:p>
    <w:p>
      <w:pPr>
        <w:ind w:firstLine="640" w:firstLineChars="200"/>
        <w:rPr>
          <w:rFonts w:hint="eastAsia"/>
          <w:sz w:val="32"/>
          <w:szCs w:val="32"/>
        </w:rPr>
      </w:pPr>
      <w:r>
        <w:rPr>
          <w:rFonts w:hint="eastAsia"/>
          <w:sz w:val="32"/>
          <w:szCs w:val="32"/>
        </w:rPr>
        <w:t>根据《新疆维吾尔自治区财政衔接推进乡村振兴补助资金（巩固拓展脱贫攻坚成果和乡村振兴任务）项目管理办法（暂行）的通知》（新乡振〔2021〕32号）《关于下达202</w:t>
      </w:r>
      <w:r>
        <w:rPr>
          <w:rFonts w:hint="eastAsia"/>
          <w:sz w:val="32"/>
          <w:szCs w:val="32"/>
          <w:lang w:val="en-US" w:eastAsia="zh-CN"/>
        </w:rPr>
        <w:t>5</w:t>
      </w:r>
      <w:r>
        <w:rPr>
          <w:rFonts w:hint="eastAsia"/>
          <w:sz w:val="32"/>
          <w:szCs w:val="32"/>
        </w:rPr>
        <w:t>年中央财政衔接推进乡村振兴补助资金预算的通知》（伊州财农〔202</w:t>
      </w:r>
      <w:r>
        <w:rPr>
          <w:rFonts w:hint="eastAsia"/>
          <w:sz w:val="32"/>
          <w:szCs w:val="32"/>
          <w:lang w:val="en-US" w:eastAsia="zh-CN"/>
        </w:rPr>
        <w:t>5</w:t>
      </w:r>
      <w:r>
        <w:rPr>
          <w:rFonts w:hint="eastAsia"/>
          <w:sz w:val="32"/>
          <w:szCs w:val="32"/>
        </w:rPr>
        <w:t>〕</w:t>
      </w:r>
      <w:r>
        <w:rPr>
          <w:rFonts w:hint="eastAsia"/>
          <w:sz w:val="32"/>
          <w:szCs w:val="32"/>
          <w:lang w:val="en-US" w:eastAsia="zh-CN"/>
        </w:rPr>
        <w:t>11</w:t>
      </w:r>
      <w:r>
        <w:rPr>
          <w:rFonts w:hint="eastAsia"/>
          <w:sz w:val="32"/>
          <w:szCs w:val="32"/>
        </w:rPr>
        <w:t>号）的要求，经县农村工作领导小组暨乡村振兴领导小组研究决定，结合项目准备情况，按照以下原则安排使用资金。</w:t>
      </w:r>
    </w:p>
    <w:p>
      <w:pPr>
        <w:ind w:firstLine="640" w:firstLineChars="200"/>
        <w:rPr>
          <w:rFonts w:hint="eastAsia"/>
          <w:sz w:val="32"/>
          <w:szCs w:val="32"/>
        </w:rPr>
      </w:pPr>
      <w:r>
        <w:rPr>
          <w:rFonts w:hint="eastAsia"/>
          <w:sz w:val="32"/>
          <w:szCs w:val="32"/>
        </w:rPr>
        <w:t>一是注重项目绩效。强化专项资金绩效导向、不断提高绩效因素在资金分配中的比例、提高衔接资金使用效率。</w:t>
      </w:r>
    </w:p>
    <w:p>
      <w:pPr>
        <w:ind w:firstLine="640" w:firstLineChars="200"/>
        <w:rPr>
          <w:rFonts w:hint="eastAsia"/>
          <w:sz w:val="32"/>
          <w:szCs w:val="32"/>
        </w:rPr>
      </w:pPr>
      <w:r>
        <w:rPr>
          <w:rFonts w:hint="eastAsia"/>
          <w:sz w:val="32"/>
          <w:szCs w:val="32"/>
        </w:rPr>
        <w:t>二是坚持公开透明。按照透明预算要求，全面推进专项资金相关信息公开、增强透明度。</w:t>
      </w:r>
    </w:p>
    <w:p>
      <w:pPr>
        <w:ind w:firstLine="640" w:firstLineChars="200"/>
        <w:rPr>
          <w:rFonts w:hint="eastAsia"/>
          <w:sz w:val="32"/>
          <w:szCs w:val="32"/>
        </w:rPr>
      </w:pPr>
      <w:r>
        <w:rPr>
          <w:rFonts w:hint="eastAsia"/>
          <w:sz w:val="32"/>
          <w:szCs w:val="32"/>
        </w:rPr>
        <w:t>三是强化责任落实。坚持“谁审批谁负责”、“谁使用谁负责”项目管理原则。</w:t>
      </w:r>
    </w:p>
    <w:p>
      <w:pPr>
        <w:numPr>
          <w:ilvl w:val="0"/>
          <w:numId w:val="2"/>
        </w:numPr>
        <w:rPr>
          <w:rFonts w:hint="eastAsia"/>
          <w:sz w:val="32"/>
          <w:szCs w:val="32"/>
        </w:rPr>
      </w:pPr>
      <w:r>
        <w:rPr>
          <w:rFonts w:hint="eastAsia"/>
          <w:sz w:val="32"/>
          <w:szCs w:val="32"/>
        </w:rPr>
        <w:t>资金安排使用情况</w:t>
      </w:r>
    </w:p>
    <w:p>
      <w:pPr>
        <w:numPr>
          <w:ilvl w:val="0"/>
          <w:numId w:val="0"/>
        </w:numPr>
        <w:jc w:val="center"/>
        <w:rPr>
          <w:rFonts w:hint="eastAsia"/>
          <w:sz w:val="32"/>
          <w:szCs w:val="32"/>
        </w:rPr>
      </w:pPr>
      <w:r>
        <w:rPr>
          <w:rFonts w:hint="eastAsia"/>
          <w:sz w:val="32"/>
          <w:szCs w:val="32"/>
        </w:rPr>
        <w:t>202</w:t>
      </w:r>
      <w:r>
        <w:rPr>
          <w:rFonts w:hint="eastAsia"/>
          <w:sz w:val="32"/>
          <w:szCs w:val="32"/>
          <w:lang w:val="en-US" w:eastAsia="zh-CN"/>
        </w:rPr>
        <w:t>5</w:t>
      </w:r>
      <w:r>
        <w:rPr>
          <w:rFonts w:hint="eastAsia"/>
          <w:sz w:val="32"/>
          <w:szCs w:val="32"/>
        </w:rPr>
        <w:t>年中央下达财政衔接推进乡村振兴补助资金</w:t>
      </w:r>
    </w:p>
    <w:p>
      <w:pPr>
        <w:numPr>
          <w:ilvl w:val="0"/>
          <w:numId w:val="0"/>
        </w:numPr>
        <w:jc w:val="center"/>
        <w:rPr>
          <w:rFonts w:hint="eastAsia"/>
          <w:sz w:val="32"/>
          <w:szCs w:val="32"/>
        </w:rPr>
      </w:pPr>
      <w:r>
        <w:rPr>
          <w:rFonts w:hint="eastAsia"/>
          <w:sz w:val="32"/>
          <w:szCs w:val="32"/>
        </w:rPr>
        <w:t>安排使用情况表</w:t>
      </w:r>
    </w:p>
    <w:p>
      <w:pPr>
        <w:numPr>
          <w:ilvl w:val="0"/>
          <w:numId w:val="0"/>
        </w:numPr>
        <w:rPr>
          <w:rFonts w:hint="eastAsia"/>
          <w:sz w:val="32"/>
          <w:szCs w:val="32"/>
        </w:rPr>
      </w:pPr>
    </w:p>
    <w:tbl>
      <w:tblPr>
        <w:tblStyle w:val="5"/>
        <w:tblW w:w="8355" w:type="dxa"/>
        <w:tblInd w:w="0" w:type="dxa"/>
        <w:shd w:val="clear" w:color="auto" w:fill="auto"/>
        <w:tblLayout w:type="fixed"/>
        <w:tblCellMar>
          <w:top w:w="15" w:type="dxa"/>
          <w:left w:w="15" w:type="dxa"/>
          <w:bottom w:w="15" w:type="dxa"/>
          <w:right w:w="15" w:type="dxa"/>
        </w:tblCellMar>
      </w:tblPr>
      <w:tblGrid>
        <w:gridCol w:w="480"/>
        <w:gridCol w:w="2496"/>
        <w:gridCol w:w="2722"/>
        <w:gridCol w:w="1296"/>
        <w:gridCol w:w="1361"/>
      </w:tblGrid>
      <w:tr>
        <w:tblPrEx>
          <w:shd w:val="clear" w:color="auto" w:fill="auto"/>
          <w:tblLayout w:type="fixed"/>
          <w:tblCellMar>
            <w:top w:w="15" w:type="dxa"/>
            <w:left w:w="15" w:type="dxa"/>
            <w:bottom w:w="15" w:type="dxa"/>
            <w:right w:w="15" w:type="dxa"/>
          </w:tblCellMar>
        </w:tblPrEx>
        <w:tc>
          <w:tcPr>
            <w:tcW w:w="4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序号</w:t>
            </w:r>
          </w:p>
        </w:tc>
        <w:tc>
          <w:tcPr>
            <w:tcW w:w="24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项目名称</w:t>
            </w:r>
          </w:p>
        </w:tc>
        <w:tc>
          <w:tcPr>
            <w:tcW w:w="272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建设地点</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投资规模</w:t>
            </w:r>
          </w:p>
        </w:tc>
        <w:tc>
          <w:tcPr>
            <w:tcW w:w="136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责任单位</w:t>
            </w:r>
          </w:p>
        </w:tc>
      </w:tr>
      <w:tr>
        <w:tblPrEx>
          <w:tblLayout w:type="fixed"/>
          <w:tblCellMar>
            <w:top w:w="15" w:type="dxa"/>
            <w:left w:w="15" w:type="dxa"/>
            <w:bottom w:w="15" w:type="dxa"/>
            <w:right w:w="15" w:type="dxa"/>
          </w:tblCellMar>
        </w:tblPrEx>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left"/>
              <w:rPr>
                <w:sz w:val="21"/>
                <w:szCs w:val="21"/>
              </w:rPr>
            </w:pPr>
          </w:p>
        </w:tc>
        <w:tc>
          <w:tcPr>
            <w:tcW w:w="24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c>
          <w:tcPr>
            <w:tcW w:w="272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（万元）</w:t>
            </w:r>
          </w:p>
        </w:tc>
        <w:tc>
          <w:tcPr>
            <w:tcW w:w="136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r>
      <w:tr>
        <w:tblPrEx>
          <w:tblLayout w:type="fixed"/>
          <w:tblCellMar>
            <w:top w:w="15" w:type="dxa"/>
            <w:left w:w="15" w:type="dxa"/>
            <w:bottom w:w="15" w:type="dxa"/>
            <w:right w:w="15"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i w:val="0"/>
                <w:color w:val="000000"/>
                <w:kern w:val="0"/>
                <w:sz w:val="21"/>
                <w:szCs w:val="21"/>
                <w:u w:val="none"/>
                <w:lang w:val="en-US" w:eastAsia="zh-CN" w:bidi="ar"/>
              </w:rPr>
              <w:t>1</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0"/>
                <w:szCs w:val="20"/>
                <w:u w:val="none"/>
                <w:lang w:val="en-US" w:eastAsia="zh-CN" w:bidi="ar"/>
              </w:rPr>
              <w:t>尼勒克县2024年推动产业帮扶精准到户项目尼勒克县易地扶贫搬迁融资模式调整规范后的地方政府债券贴息补助项目</w:t>
            </w:r>
          </w:p>
        </w:tc>
        <w:tc>
          <w:tcPr>
            <w:tcW w:w="27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eastAsiaTheme="minorEastAsia"/>
                <w:sz w:val="21"/>
                <w:szCs w:val="21"/>
                <w:lang w:val="en-US" w:eastAsia="zh-CN"/>
              </w:rPr>
            </w:pPr>
            <w:r>
              <w:rPr>
                <w:rFonts w:hint="eastAsia"/>
                <w:sz w:val="21"/>
                <w:szCs w:val="21"/>
                <w:lang w:val="en-US" w:eastAsia="zh-CN"/>
              </w:rPr>
              <w:t>尼勒克县</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sz w:val="21"/>
                <w:szCs w:val="21"/>
                <w:lang w:val="en-US"/>
              </w:rPr>
            </w:pPr>
            <w:r>
              <w:rPr>
                <w:rFonts w:hint="eastAsia" w:ascii="宋体" w:hAnsi="宋体" w:eastAsia="宋体" w:cs="宋体"/>
                <w:i w:val="0"/>
                <w:color w:val="000000"/>
                <w:kern w:val="0"/>
                <w:sz w:val="20"/>
                <w:szCs w:val="20"/>
                <w:u w:val="none"/>
                <w:lang w:val="en-US" w:eastAsia="zh-CN" w:bidi="ar"/>
              </w:rPr>
              <w:t>29.47</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2"/>
                <w:szCs w:val="22"/>
                <w:u w:val="none"/>
                <w:lang w:val="en-US" w:eastAsia="zh-CN" w:bidi="ar"/>
              </w:rPr>
              <w:t>财政局</w:t>
            </w:r>
          </w:p>
        </w:tc>
      </w:tr>
      <w:tr>
        <w:tblPrEx>
          <w:tblLayout w:type="fixed"/>
          <w:tblCellMar>
            <w:top w:w="15" w:type="dxa"/>
            <w:left w:w="15" w:type="dxa"/>
            <w:bottom w:w="15" w:type="dxa"/>
            <w:right w:w="15" w:type="dxa"/>
          </w:tblCellMar>
        </w:tblPrEx>
        <w:trPr>
          <w:trHeight w:val="522" w:hRule="atLeast"/>
        </w:trPr>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eastAsia" w:ascii="Calibri" w:hAnsi="Calibri" w:eastAsia="宋体" w:cs="Calibri"/>
                <w:i w:val="0"/>
                <w:color w:val="000000"/>
                <w:kern w:val="0"/>
                <w:sz w:val="21"/>
                <w:szCs w:val="21"/>
                <w:u w:val="none"/>
                <w:lang w:val="en-US" w:eastAsia="zh-CN" w:bidi="ar"/>
              </w:rPr>
              <w:t>2</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尼勒克县2025年农村户厕补助项目</w:t>
            </w:r>
          </w:p>
        </w:tc>
        <w:tc>
          <w:tcPr>
            <w:tcW w:w="27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尼勒克县</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农业农村局</w:t>
            </w:r>
          </w:p>
        </w:tc>
      </w:tr>
      <w:tr>
        <w:tblPrEx>
          <w:tblLayout w:type="fixed"/>
          <w:tblCellMar>
            <w:top w:w="15" w:type="dxa"/>
            <w:left w:w="15" w:type="dxa"/>
            <w:bottom w:w="15" w:type="dxa"/>
            <w:right w:w="15" w:type="dxa"/>
          </w:tblCellMar>
        </w:tblPrEx>
        <w:trPr>
          <w:trHeight w:val="507" w:hRule="atLeast"/>
        </w:trPr>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eastAsia" w:ascii="Calibri" w:hAnsi="Calibri" w:eastAsia="宋体" w:cs="Calibri"/>
                <w:i w:val="0"/>
                <w:color w:val="000000"/>
                <w:kern w:val="0"/>
                <w:sz w:val="21"/>
                <w:szCs w:val="21"/>
                <w:u w:val="none"/>
                <w:lang w:val="en-US" w:eastAsia="zh-CN" w:bidi="ar"/>
              </w:rPr>
              <w:t>3</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尼勒克县木斯镇木斯村塔勒德沟牧道建设项目</w:t>
            </w:r>
          </w:p>
        </w:tc>
        <w:tc>
          <w:tcPr>
            <w:tcW w:w="27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木斯镇</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木斯镇</w:t>
            </w:r>
          </w:p>
        </w:tc>
      </w:tr>
      <w:tr>
        <w:tblPrEx>
          <w:tblLayout w:type="fixed"/>
          <w:tblCellMar>
            <w:top w:w="15" w:type="dxa"/>
            <w:left w:w="15" w:type="dxa"/>
            <w:bottom w:w="15" w:type="dxa"/>
            <w:right w:w="15" w:type="dxa"/>
          </w:tblCellMar>
        </w:tblPrEx>
        <w:trPr>
          <w:trHeight w:val="537" w:hRule="atLeast"/>
        </w:trPr>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eastAsia" w:ascii="Calibri" w:hAnsi="Calibri" w:eastAsia="宋体" w:cs="Calibri"/>
                <w:i w:val="0"/>
                <w:color w:val="000000"/>
                <w:kern w:val="0"/>
                <w:sz w:val="21"/>
                <w:szCs w:val="21"/>
                <w:u w:val="none"/>
                <w:lang w:val="en-US" w:eastAsia="zh-CN" w:bidi="ar"/>
              </w:rPr>
              <w:t>4</w:t>
            </w:r>
          </w:p>
        </w:tc>
        <w:tc>
          <w:tcPr>
            <w:tcW w:w="24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尼勒克县2025年产业帮扶精准到户项目（二期）</w:t>
            </w:r>
          </w:p>
        </w:tc>
        <w:tc>
          <w:tcPr>
            <w:tcW w:w="272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尼勒克县</w:t>
            </w:r>
          </w:p>
        </w:tc>
        <w:tc>
          <w:tcPr>
            <w:tcW w:w="1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733.53</w:t>
            </w:r>
          </w:p>
        </w:tc>
        <w:tc>
          <w:tcPr>
            <w:tcW w:w="136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农业农村局</w:t>
            </w:r>
          </w:p>
        </w:tc>
      </w:tr>
    </w:tbl>
    <w:p>
      <w:pPr>
        <w:rPr>
          <w:rFonts w:hint="eastAsia"/>
          <w:sz w:val="32"/>
          <w:szCs w:val="32"/>
        </w:rPr>
      </w:pPr>
      <w:r>
        <w:rPr>
          <w:rFonts w:hint="eastAsia"/>
          <w:sz w:val="32"/>
          <w:szCs w:val="32"/>
        </w:rPr>
        <w:t>注：每个具体项目建设情况由责任单位另</w:t>
      </w:r>
      <w:r>
        <w:rPr>
          <w:rFonts w:hint="eastAsia"/>
          <w:sz w:val="32"/>
          <w:szCs w:val="32"/>
          <w:lang w:eastAsia="zh-CN"/>
        </w:rPr>
        <w:t>行</w:t>
      </w:r>
      <w:r>
        <w:rPr>
          <w:rFonts w:hint="eastAsia"/>
          <w:sz w:val="32"/>
          <w:szCs w:val="32"/>
        </w:rPr>
        <w:t>公告公示</w:t>
      </w:r>
    </w:p>
    <w:p>
      <w:pPr>
        <w:ind w:firstLine="640" w:firstLineChars="200"/>
        <w:rPr>
          <w:rFonts w:hint="eastAsia"/>
          <w:sz w:val="32"/>
          <w:szCs w:val="32"/>
        </w:rPr>
      </w:pPr>
    </w:p>
    <w:p>
      <w:pPr>
        <w:ind w:left="2238" w:leftChars="304" w:hanging="1600" w:hangingChars="500"/>
        <w:rPr>
          <w:rFonts w:hint="eastAsia"/>
          <w:sz w:val="32"/>
          <w:szCs w:val="32"/>
        </w:rPr>
      </w:pPr>
      <w:r>
        <w:rPr>
          <w:rFonts w:hint="eastAsia"/>
          <w:sz w:val="32"/>
          <w:szCs w:val="32"/>
        </w:rPr>
        <w:t>监督电话：12317（国家、自治区扶贫监督举报电话）0999-7</w:t>
      </w:r>
      <w:r>
        <w:rPr>
          <w:rFonts w:hint="eastAsia"/>
          <w:sz w:val="32"/>
          <w:szCs w:val="32"/>
          <w:lang w:val="en-US" w:eastAsia="zh-CN"/>
        </w:rPr>
        <w:t>798080</w:t>
      </w:r>
      <w:r>
        <w:rPr>
          <w:rFonts w:hint="eastAsia"/>
          <w:sz w:val="32"/>
          <w:szCs w:val="32"/>
        </w:rPr>
        <w:t>（县财政局）</w:t>
      </w:r>
    </w:p>
    <w:p>
      <w:pPr>
        <w:ind w:firstLine="2240" w:firstLineChars="700"/>
        <w:rPr>
          <w:rFonts w:hint="eastAsia"/>
          <w:sz w:val="32"/>
          <w:szCs w:val="32"/>
        </w:rPr>
      </w:pPr>
      <w:r>
        <w:rPr>
          <w:rFonts w:hint="eastAsia"/>
          <w:sz w:val="32"/>
          <w:szCs w:val="32"/>
        </w:rPr>
        <w:t>0999-</w:t>
      </w:r>
      <w:r>
        <w:rPr>
          <w:rFonts w:hint="eastAsia"/>
          <w:sz w:val="32"/>
          <w:szCs w:val="32"/>
          <w:lang w:val="en-US" w:eastAsia="zh-CN"/>
        </w:rPr>
        <w:t>4639641</w:t>
      </w:r>
      <w:r>
        <w:rPr>
          <w:rFonts w:hint="eastAsia"/>
          <w:sz w:val="32"/>
          <w:szCs w:val="32"/>
        </w:rPr>
        <w:t>（县</w:t>
      </w:r>
      <w:r>
        <w:rPr>
          <w:rFonts w:hint="eastAsia"/>
          <w:sz w:val="32"/>
          <w:szCs w:val="32"/>
          <w:lang w:eastAsia="zh-CN"/>
        </w:rPr>
        <w:t>农业农村</w:t>
      </w:r>
      <w:r>
        <w:rPr>
          <w:rFonts w:hint="eastAsia"/>
          <w:sz w:val="32"/>
          <w:szCs w:val="32"/>
        </w:rPr>
        <w:t>局监督电话）</w:t>
      </w:r>
    </w:p>
    <w:p>
      <w:pPr>
        <w:numPr>
          <w:ilvl w:val="0"/>
          <w:numId w:val="0"/>
        </w:numPr>
        <w:rPr>
          <w:rFonts w:hint="eastAsia"/>
          <w:sz w:val="32"/>
          <w:szCs w:val="32"/>
          <w:lang w:eastAsia="zh-CN"/>
        </w:rPr>
      </w:pPr>
    </w:p>
    <w:p>
      <w:pPr>
        <w:numPr>
          <w:ilvl w:val="0"/>
          <w:numId w:val="0"/>
        </w:numPr>
        <w:ind w:firstLine="5760" w:firstLineChars="1800"/>
        <w:rPr>
          <w:rFonts w:hint="eastAsia" w:ascii="宋体" w:hAnsi="宋体" w:eastAsia="宋体" w:cs="宋体"/>
          <w:i w:val="0"/>
          <w:caps w:val="0"/>
          <w:color w:val="5A5A5A"/>
          <w:spacing w:val="0"/>
          <w:sz w:val="32"/>
          <w:szCs w:val="32"/>
          <w:shd w:val="clear" w:fill="FFFFFF"/>
        </w:rPr>
      </w:pPr>
      <w:r>
        <w:rPr>
          <w:rFonts w:hint="eastAsia"/>
          <w:sz w:val="32"/>
          <w:szCs w:val="32"/>
          <w:lang w:eastAsia="zh-CN"/>
        </w:rPr>
        <w:t>尼勒克</w:t>
      </w:r>
      <w:r>
        <w:rPr>
          <w:rFonts w:hint="eastAsia"/>
          <w:sz w:val="32"/>
          <w:szCs w:val="32"/>
        </w:rPr>
        <w:t>县财政局</w:t>
      </w:r>
    </w:p>
    <w:p>
      <w:pPr>
        <w:numPr>
          <w:ilvl w:val="0"/>
          <w:numId w:val="0"/>
        </w:numPr>
        <w:ind w:left="5440" w:hanging="5440" w:hangingChars="1700"/>
        <w:rPr>
          <w:rFonts w:hint="eastAsia"/>
          <w:sz w:val="32"/>
          <w:szCs w:val="32"/>
        </w:rPr>
      </w:pPr>
      <w:r>
        <w:rPr>
          <w:rFonts w:hint="eastAsia" w:ascii="宋体" w:hAnsi="宋体" w:eastAsia="宋体" w:cs="宋体"/>
          <w:i w:val="0"/>
          <w:caps w:val="0"/>
          <w:color w:val="5A5A5A"/>
          <w:spacing w:val="0"/>
          <w:sz w:val="32"/>
          <w:szCs w:val="32"/>
          <w:shd w:val="clear" w:fill="FFFFFF"/>
        </w:rPr>
        <w:t xml:space="preserve">  </w:t>
      </w:r>
      <w:r>
        <w:rPr>
          <w:rFonts w:hint="eastAsia" w:ascii="宋体" w:hAnsi="宋体" w:eastAsia="宋体" w:cs="宋体"/>
          <w:i w:val="0"/>
          <w:caps w:val="0"/>
          <w:color w:val="5A5A5A"/>
          <w:spacing w:val="0"/>
          <w:sz w:val="32"/>
          <w:szCs w:val="32"/>
          <w:shd w:val="clear" w:fill="FFFFFF"/>
          <w:lang w:val="en-US" w:eastAsia="zh-CN"/>
        </w:rPr>
        <w:t xml:space="preserve">                                 </w:t>
      </w:r>
      <w:r>
        <w:rPr>
          <w:rFonts w:hint="eastAsia"/>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5</w:t>
      </w:r>
      <w:r>
        <w:rPr>
          <w:rFonts w:hint="eastAsia"/>
          <w:sz w:val="32"/>
          <w:szCs w:val="32"/>
        </w:rPr>
        <w:t>月</w:t>
      </w:r>
      <w:r>
        <w:rPr>
          <w:rFonts w:hint="eastAsia"/>
          <w:sz w:val="32"/>
          <w:szCs w:val="32"/>
          <w:lang w:val="en-US" w:eastAsia="zh-CN"/>
        </w:rPr>
        <w:t>14</w:t>
      </w:r>
      <w:r>
        <w:rPr>
          <w:rFonts w:hint="eastAsia"/>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22D2A8"/>
    <w:multiLevelType w:val="singleLevel"/>
    <w:tmpl w:val="EF22D2A8"/>
    <w:lvl w:ilvl="0" w:tentative="0">
      <w:start w:val="3"/>
      <w:numFmt w:val="chineseCounting"/>
      <w:suff w:val="nothing"/>
      <w:lvlText w:val="%1、"/>
      <w:lvlJc w:val="left"/>
      <w:rPr>
        <w:rFonts w:hint="eastAsia"/>
      </w:rPr>
    </w:lvl>
  </w:abstractNum>
  <w:abstractNum w:abstractNumId="1">
    <w:nsid w:val="1A28CDE9"/>
    <w:multiLevelType w:val="singleLevel"/>
    <w:tmpl w:val="1A28CDE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B0E88"/>
    <w:rsid w:val="01945984"/>
    <w:rsid w:val="06296502"/>
    <w:rsid w:val="0789372B"/>
    <w:rsid w:val="0B6F5C4B"/>
    <w:rsid w:val="0E0F22F3"/>
    <w:rsid w:val="13C837BF"/>
    <w:rsid w:val="158E036F"/>
    <w:rsid w:val="170A59FC"/>
    <w:rsid w:val="172F7A69"/>
    <w:rsid w:val="25EE69AB"/>
    <w:rsid w:val="27B649EB"/>
    <w:rsid w:val="3ECA7C2A"/>
    <w:rsid w:val="3F6B1AFF"/>
    <w:rsid w:val="3F736234"/>
    <w:rsid w:val="42421C21"/>
    <w:rsid w:val="4C853204"/>
    <w:rsid w:val="51791A36"/>
    <w:rsid w:val="529E69E5"/>
    <w:rsid w:val="59486D55"/>
    <w:rsid w:val="754F14A6"/>
    <w:rsid w:val="75CB0E88"/>
    <w:rsid w:val="78D04900"/>
    <w:rsid w:val="796149AB"/>
    <w:rsid w:val="79CD269D"/>
    <w:rsid w:val="7C90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2022-06-06T09:24:00Z</dcterms:created>
  <dc:creator>Administrator</dc:creator>
  <cp:lastModifiedBy>Administrator</cp:lastModifiedBy>
  <dcterms:modified xsi:type="dcterms:W3CDTF">2025-09-10T02:44:05Z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