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hd w:val="clear" w:color="auto" w:fill="auto"/>
        <w:bidi w:val="0"/>
        <w:spacing w:before="0" w:after="1060" w:line="240" w:lineRule="auto"/>
        <w:ind w:left="0" w:right="0" w:firstLine="0"/>
        <w:jc w:val="both"/>
        <w:outlineLvl w:val="0"/>
        <w:rPr>
          <w:rFonts w:hint="eastAsia" w:ascii="宋体" w:hAnsi="宋体" w:eastAsia="宋体" w:cs="宋体"/>
          <w:color w:val="F16249"/>
          <w:spacing w:val="0"/>
          <w:w w:val="100"/>
          <w:position w:val="0"/>
          <w:sz w:val="100"/>
          <w:szCs w:val="100"/>
          <w:u w:val="none"/>
          <w:shd w:val="clear" w:color="auto" w:fill="auto"/>
          <w:lang w:val="zh-TW" w:eastAsia="zh-CN" w:bidi="zh-TW"/>
        </w:rPr>
      </w:pPr>
      <w:bookmarkStart w:id="0" w:name="bookmark2"/>
      <w:bookmarkStart w:id="1" w:name="bookmark1"/>
      <w:bookmarkStart w:id="2" w:name="bookmark0"/>
    </w:p>
    <w:p>
      <w:pPr>
        <w:keepNext w:val="0"/>
        <w:keepLines w:val="0"/>
        <w:shd w:val="clear" w:color="auto" w:fill="auto"/>
        <w:bidi w:val="0"/>
        <w:spacing w:before="0" w:after="0" w:line="1400" w:lineRule="exact"/>
        <w:ind w:left="0" w:right="0" w:firstLine="0"/>
        <w:jc w:val="center"/>
        <w:rPr>
          <w:rFonts w:ascii="Times New Roman" w:hAnsi="Times New Roman" w:eastAsia="Times New Roman" w:cs="Times New Roman"/>
          <w:color w:val="000000"/>
          <w:spacing w:val="0"/>
          <w:w w:val="100"/>
          <w:kern w:val="0"/>
          <w:position w:val="0"/>
          <w:sz w:val="24"/>
          <w:shd w:val="clear" w:color="auto" w:fill="auto"/>
          <w:lang w:eastAsia="en-US" w:bidi="en-US"/>
        </w:rPr>
      </w:pPr>
      <w:r>
        <w:rPr>
          <w:rFonts w:hint="eastAsia" w:ascii="方正小标宋简体" w:hAnsi="Times New Roman" w:eastAsia="方正小标宋简体" w:cs="Times New Roman"/>
          <w:b/>
          <w:color w:val="FF0000"/>
          <w:spacing w:val="0"/>
          <w:w w:val="70"/>
          <w:kern w:val="2"/>
          <w:position w:val="0"/>
          <w:sz w:val="124"/>
          <w:szCs w:val="100"/>
          <w:shd w:val="clear" w:color="auto" w:fill="auto"/>
          <w:lang w:eastAsia="zh-CN" w:bidi="ar-SA"/>
        </w:rPr>
        <w:t>尼勒克县财政局文件</w:t>
      </w:r>
      <w:bookmarkEnd w:id="0"/>
      <w:bookmarkEnd w:id="1"/>
      <w:bookmarkEnd w:id="2"/>
    </w:p>
    <w:p>
      <w:pPr>
        <w:keepNext w:val="0"/>
        <w:keepLines w:val="0"/>
        <w:shd w:val="clear" w:color="auto" w:fill="auto"/>
        <w:bidi w:val="0"/>
        <w:spacing w:before="0" w:after="0" w:line="360" w:lineRule="auto"/>
        <w:ind w:left="0" w:right="0" w:firstLine="0"/>
        <w:jc w:val="center"/>
        <w:rPr>
          <w:rFonts w:ascii="Times New Roman" w:hAnsi="Times New Roman" w:eastAsia="Times New Roman" w:cs="Times New Roman"/>
          <w:color w:val="000000"/>
          <w:spacing w:val="0"/>
          <w:w w:val="100"/>
          <w:kern w:val="0"/>
          <w:position w:val="0"/>
          <w:sz w:val="24"/>
          <w:szCs w:val="24"/>
          <w:shd w:val="clear" w:color="auto" w:fill="auto"/>
          <w:lang w:eastAsia="en-US" w:bidi="en-US"/>
        </w:rPr>
      </w:pPr>
    </w:p>
    <w:p>
      <w:pPr>
        <w:keepNext w:val="0"/>
        <w:keepLines w:val="0"/>
        <w:shd w:val="clear" w:color="auto" w:fill="auto"/>
        <w:bidi w:val="0"/>
        <w:spacing w:before="0" w:after="0" w:line="360" w:lineRule="auto"/>
        <w:ind w:left="0" w:right="0" w:firstLine="0"/>
        <w:jc w:val="center"/>
        <w:rPr>
          <w:rFonts w:ascii="Times New Roman" w:hAnsi="Times New Roman" w:eastAsia="Times New Roman" w:cs="Times New Roman"/>
          <w:color w:val="000000"/>
          <w:spacing w:val="0"/>
          <w:w w:val="100"/>
          <w:kern w:val="0"/>
          <w:position w:val="0"/>
          <w:sz w:val="24"/>
          <w:szCs w:val="24"/>
          <w:shd w:val="clear" w:color="auto" w:fill="auto"/>
          <w:lang w:eastAsia="en-US" w:bidi="en-US"/>
        </w:rPr>
      </w:pPr>
    </w:p>
    <w:p>
      <w:pPr>
        <w:keepNext w:val="0"/>
        <w:keepLines w:val="0"/>
        <w:shd w:val="clear" w:color="auto" w:fill="auto"/>
        <w:bidi w:val="0"/>
        <w:spacing w:before="0" w:after="0" w:line="360" w:lineRule="auto"/>
        <w:ind w:left="0" w:right="0" w:firstLine="0"/>
        <w:jc w:val="center"/>
        <w:rPr>
          <w:rFonts w:ascii="Times New Roman" w:hAnsi="Times New Roman" w:eastAsia="Times New Roman" w:cs="Times New Roman"/>
          <w:color w:val="000000"/>
          <w:spacing w:val="0"/>
          <w:w w:val="100"/>
          <w:kern w:val="0"/>
          <w:position w:val="0"/>
          <w:sz w:val="24"/>
          <w:szCs w:val="24"/>
          <w:shd w:val="clear" w:color="auto" w:fill="auto"/>
          <w:lang w:eastAsia="en-US" w:bidi="en-US"/>
        </w:rPr>
      </w:pPr>
      <w:r>
        <w:rPr>
          <w:rFonts w:hint="eastAsia" w:ascii="Times New Roman" w:hAnsi="Times New Roman" w:eastAsia="宋体" w:cs="Times New Roman"/>
          <w:color w:val="000000"/>
          <w:spacing w:val="0"/>
          <w:w w:val="100"/>
          <w:kern w:val="0"/>
          <w:position w:val="0"/>
          <w:sz w:val="24"/>
          <w:szCs w:val="24"/>
          <w:shd w:val="clear" w:color="auto" w:fill="auto"/>
          <w:lang w:eastAsia="zh-CN" w:bidi="en-US"/>
        </w:rPr>
        <w:t>尼</w:t>
      </w:r>
      <w:r>
        <w:rPr>
          <w:rFonts w:ascii="Times New Roman" w:hAnsi="Times New Roman" w:eastAsia="Times New Roman" w:cs="Times New Roman"/>
          <w:color w:val="000000"/>
          <w:spacing w:val="0"/>
          <w:w w:val="100"/>
          <w:kern w:val="0"/>
          <w:position w:val="0"/>
          <w:sz w:val="24"/>
          <w:szCs w:val="24"/>
          <w:shd w:val="clear" w:color="auto" w:fill="auto"/>
          <w:lang w:eastAsia="en-US" w:bidi="en-US"/>
        </w:rPr>
        <w:t>财农〔</w:t>
      </w:r>
      <w:r>
        <w:rPr>
          <w:rFonts w:hint="eastAsia" w:ascii="Times New Roman" w:hAnsi="Times New Roman" w:eastAsia="Times New Roman" w:cs="Times New Roman"/>
          <w:color w:val="000000"/>
          <w:spacing w:val="0"/>
          <w:w w:val="100"/>
          <w:kern w:val="0"/>
          <w:position w:val="0"/>
          <w:sz w:val="24"/>
          <w:szCs w:val="24"/>
          <w:shd w:val="clear" w:color="auto" w:fill="auto"/>
          <w:lang w:val="en-US" w:eastAsia="zh-CN" w:bidi="en-US"/>
        </w:rPr>
        <w:t>2025</w:t>
      </w:r>
      <w:r>
        <w:rPr>
          <w:rFonts w:ascii="Times New Roman" w:hAnsi="Times New Roman" w:eastAsia="Times New Roman" w:cs="Times New Roman"/>
          <w:color w:val="000000"/>
          <w:spacing w:val="0"/>
          <w:w w:val="100"/>
          <w:kern w:val="0"/>
          <w:position w:val="0"/>
          <w:sz w:val="24"/>
          <w:szCs w:val="24"/>
          <w:shd w:val="clear" w:color="auto" w:fill="auto"/>
          <w:lang w:eastAsia="en-US" w:bidi="en-US"/>
        </w:rPr>
        <w:t>〕</w:t>
      </w:r>
      <w:r>
        <w:rPr>
          <w:rFonts w:hint="eastAsia" w:ascii="Times New Roman" w:hAnsi="Times New Roman" w:eastAsia="宋体" w:cs="Times New Roman"/>
          <w:color w:val="000000"/>
          <w:spacing w:val="0"/>
          <w:w w:val="100"/>
          <w:kern w:val="0"/>
          <w:position w:val="0"/>
          <w:sz w:val="24"/>
          <w:szCs w:val="24"/>
          <w:shd w:val="clear" w:color="auto" w:fill="auto"/>
          <w:lang w:val="en-US" w:eastAsia="zh-CN" w:bidi="en-US"/>
        </w:rPr>
        <w:t>11</w:t>
      </w:r>
      <w:r>
        <w:rPr>
          <w:rFonts w:ascii="Times New Roman" w:hAnsi="Times New Roman" w:eastAsia="Times New Roman" w:cs="Times New Roman"/>
          <w:color w:val="000000"/>
          <w:spacing w:val="0"/>
          <w:w w:val="100"/>
          <w:kern w:val="0"/>
          <w:position w:val="0"/>
          <w:sz w:val="24"/>
          <w:szCs w:val="24"/>
          <w:shd w:val="clear" w:color="auto" w:fill="auto"/>
          <w:lang w:eastAsia="en-US" w:bidi="en-US"/>
        </w:rPr>
        <w:t>号</w:t>
      </w:r>
    </w:p>
    <w:p>
      <w:pPr>
        <w:keepNext w:val="0"/>
        <w:keepLines w:val="0"/>
        <w:shd w:val="clear" w:color="auto" w:fill="auto"/>
        <w:bidi w:val="0"/>
        <w:spacing w:before="0" w:after="0" w:line="360" w:lineRule="auto"/>
        <w:ind w:left="0" w:right="0" w:firstLine="0"/>
        <w:jc w:val="left"/>
        <w:rPr>
          <w:rFonts w:hint="eastAsia" w:ascii="方正小标宋简体" w:hAnsi="Times New Roman" w:eastAsia="方正小标宋简体" w:cs="Times New Roman"/>
          <w:color w:val="FF0000"/>
          <w:spacing w:val="0"/>
          <w:w w:val="100"/>
          <w:kern w:val="2"/>
          <w:position w:val="0"/>
          <w:sz w:val="44"/>
          <w:szCs w:val="44"/>
          <w:shd w:val="clear" w:color="auto" w:fill="auto"/>
          <w:lang w:eastAsia="zh-CN" w:bidi="ar-SA"/>
        </w:rPr>
      </w:pPr>
      <w:r>
        <w:rPr>
          <w:rFonts w:ascii="Times New Roman" w:hAnsi="Times New Roman" w:eastAsia="Times New Roman" w:cs="Times New Roman"/>
          <w:color w:val="000000"/>
          <w:spacing w:val="0"/>
          <w:w w:val="100"/>
          <w:kern w:val="0"/>
          <w:position w:val="0"/>
          <w:sz w:val="44"/>
          <w:szCs w:val="18"/>
          <w:shd w:val="clear" w:color="auto" w:fill="auto"/>
          <w:lang w:eastAsia="en-US" w:bidi="en-US"/>
        </w:rPr>
        <mc:AlternateContent>
          <mc:Choice Requires="wps">
            <w:drawing>
              <wp:anchor distT="0" distB="0" distL="114300" distR="114300" simplePos="0" relativeHeight="125831168" behindDoc="0" locked="0" layoutInCell="1" allowOverlap="1">
                <wp:simplePos x="0" y="0"/>
                <wp:positionH relativeFrom="column">
                  <wp:posOffset>-25400</wp:posOffset>
                </wp:positionH>
                <wp:positionV relativeFrom="paragraph">
                  <wp:posOffset>-31750</wp:posOffset>
                </wp:positionV>
                <wp:extent cx="5810250" cy="0"/>
                <wp:effectExtent l="33655" t="29845" r="42545" b="84455"/>
                <wp:wrapNone/>
                <wp:docPr id="2" name="直接连接符 2"/>
                <wp:cNvGraphicFramePr/>
                <a:graphic xmlns:a="http://schemas.openxmlformats.org/drawingml/2006/main">
                  <a:graphicData uri="http://schemas.microsoft.com/office/word/2010/wordprocessingShape">
                    <wps:wsp>
                      <wps:cNvCnPr/>
                      <wps:spPr>
                        <a:xfrm flipH="1">
                          <a:off x="1148080" y="4656455"/>
                          <a:ext cx="5810250" cy="0"/>
                        </a:xfrm>
                        <a:prstGeom prst="line">
                          <a:avLst/>
                        </a:prstGeom>
                        <a:noFill/>
                        <a:ln w="38100" cap="flat" cmpd="sng" algn="ctr">
                          <a:solidFill>
                            <a:srgbClr val="FF0000"/>
                          </a:solidFill>
                          <a:prstDash val="solid"/>
                        </a:ln>
                        <a:effectLst>
                          <a:outerShdw blurRad="40000" dist="23000" dir="5400000" rotWithShape="0">
                            <a:srgbClr val="000000">
                              <a:alpha val="35000"/>
                            </a:srgbClr>
                          </a:outerShdw>
                        </a:effectLst>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x;margin-left:-2pt;margin-top:-2.5pt;height:0pt;width:457.5pt;z-index:125831168;mso-width-relative:page;mso-height-relative:page;" filled="f" stroked="t" coordsize="21600,21600" o:gfxdata="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bpK6y1gAAAAgBAAAPAAAAAAAAAAEAIAAAACIAAABkcnMvZG93bnJldi54bWxQSwECFAAUAAAA&#10;CACHTuJAfCNyQykCAAAmBAAADgAAAAAAAAABACAAAAAlAQAAZHJzL2Uyb0RvYy54bWxQSwUGAAAA&#10;AAYABgBZAQAAwAUAAAAA&#10;">
                <v:fill on="f" focussize="0,0"/>
                <v:stroke weight="3pt" color="#FF0000 [3205]" miterlimit="8" joinstyle="miter"/>
                <v:imagedata o:title=""/>
                <o:lock v:ext="edit" aspectratio="f"/>
                <v:shadow on="t" color="#000000" opacity="22937f" offset="0pt,1.81102362204724pt" origin="0f,32768f" matrix="65536f,0f,0f,65536f"/>
              </v:line>
            </w:pict>
          </mc:Fallback>
        </mc:AlternateConten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关于下达202</w:t>
      </w:r>
      <w:r>
        <w:rPr>
          <w:rFonts w:hint="eastAsia" w:asciiTheme="majorEastAsia" w:hAnsiTheme="majorEastAsia" w:eastAsiaTheme="majorEastAsia" w:cstheme="majorEastAsia"/>
          <w:sz w:val="44"/>
          <w:szCs w:val="44"/>
          <w:lang w:val="en-US" w:eastAsia="zh-CN"/>
        </w:rPr>
        <w:t>5</w:t>
      </w:r>
      <w:r>
        <w:rPr>
          <w:rFonts w:hint="eastAsia" w:asciiTheme="majorEastAsia" w:hAnsiTheme="majorEastAsia" w:eastAsiaTheme="majorEastAsia" w:cstheme="majorEastAsia"/>
          <w:sz w:val="44"/>
          <w:szCs w:val="44"/>
        </w:rPr>
        <w:t>年中央财政衔接推进乡村振兴补助资金预算的通知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lang w:val="zh-TW" w:eastAsia="zh-TW"/>
        </w:rPr>
      </w:pPr>
      <w:r>
        <w:rPr>
          <w:rStyle w:val="5"/>
          <w:rFonts w:hint="eastAsia"/>
          <w:b w:val="0"/>
          <w:bCs w:val="0"/>
          <w:i w:val="0"/>
          <w:iCs w:val="0"/>
          <w:smallCaps w:val="0"/>
          <w:strike w:val="0"/>
          <w:lang w:val="zh-TW" w:eastAsia="zh-CN"/>
        </w:rPr>
        <w:t>尼勒克县农业农村局</w:t>
      </w:r>
      <w:r>
        <w:rPr>
          <w:rFonts w:hint="eastAsia" w:ascii="仿宋" w:hAnsi="仿宋" w:eastAsia="仿宋" w:cs="仿宋"/>
          <w:sz w:val="28"/>
          <w:szCs w:val="28"/>
          <w:lang w:val="zh-TW" w:eastAsia="zh-TW"/>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5"/>
          <w:rFonts w:hint="eastAsia"/>
          <w:b w:val="0"/>
          <w:bCs w:val="0"/>
          <w:i w:val="0"/>
          <w:iCs w:val="0"/>
          <w:smallCaps w:val="0"/>
          <w:strike w:val="0"/>
          <w:lang w:val="zh-TW" w:eastAsia="zh-CN"/>
        </w:rPr>
      </w:pPr>
      <w:r>
        <w:rPr>
          <w:rStyle w:val="5"/>
          <w:rFonts w:hint="eastAsia"/>
          <w:b w:val="0"/>
          <w:bCs w:val="0"/>
          <w:i w:val="0"/>
          <w:iCs w:val="0"/>
          <w:smallCaps w:val="0"/>
          <w:strike w:val="0"/>
          <w:lang w:val="zh-TW" w:eastAsia="zh-CN"/>
        </w:rPr>
        <w:t>根据自治区财政厅《</w:t>
      </w:r>
      <w:r>
        <w:rPr>
          <w:rStyle w:val="5"/>
          <w:rFonts w:hint="eastAsia"/>
          <w:b w:val="0"/>
          <w:bCs w:val="0"/>
          <w:i w:val="0"/>
          <w:iCs w:val="0"/>
          <w:smallCaps w:val="0"/>
          <w:strike w:val="0"/>
          <w:lang w:val="zh-TW" w:eastAsia="zh-CN"/>
        </w:rPr>
        <w:t>关于下达2025年中央财政衔接推进乡 村振兴补助资金预算的通知》(伊州财农【</w:t>
      </w:r>
      <w:r>
        <w:rPr>
          <w:rStyle w:val="5"/>
          <w:rFonts w:hint="eastAsia"/>
          <w:b w:val="0"/>
          <w:bCs w:val="0"/>
          <w:i w:val="0"/>
          <w:iCs w:val="0"/>
          <w:smallCaps w:val="0"/>
          <w:strike w:val="0"/>
          <w:lang w:val="en-US" w:eastAsia="zh-CN"/>
        </w:rPr>
        <w:t>2025】11</w:t>
      </w:r>
      <w:r>
        <w:rPr>
          <w:rStyle w:val="5"/>
          <w:rFonts w:hint="eastAsia"/>
          <w:b w:val="0"/>
          <w:bCs w:val="0"/>
          <w:i w:val="0"/>
          <w:iCs w:val="0"/>
          <w:smallCaps w:val="0"/>
          <w:strike w:val="0"/>
          <w:lang w:val="en-US" w:eastAsia="zh-CN"/>
        </w:rPr>
        <w:t>号</w:t>
      </w:r>
      <w:r>
        <w:rPr>
          <w:rStyle w:val="5"/>
          <w:rFonts w:hint="eastAsia"/>
          <w:b w:val="0"/>
          <w:bCs w:val="0"/>
          <w:i w:val="0"/>
          <w:iCs w:val="0"/>
          <w:smallCaps w:val="0"/>
          <w:strike w:val="0"/>
          <w:lang w:val="zh-TW" w:eastAsia="zh-CN"/>
        </w:rPr>
        <w:t>)(以下简称"衔接资金")，现下达我县202</w:t>
      </w:r>
      <w:r>
        <w:rPr>
          <w:rStyle w:val="5"/>
          <w:rFonts w:hint="eastAsia"/>
          <w:b w:val="0"/>
          <w:bCs w:val="0"/>
          <w:i w:val="0"/>
          <w:iCs w:val="0"/>
          <w:smallCaps w:val="0"/>
          <w:strike w:val="0"/>
          <w:lang w:val="en-US" w:eastAsia="zh-CN"/>
        </w:rPr>
        <w:t>5</w:t>
      </w:r>
      <w:r>
        <w:rPr>
          <w:rStyle w:val="5"/>
          <w:rFonts w:hint="eastAsia"/>
          <w:b w:val="0"/>
          <w:bCs w:val="0"/>
          <w:i w:val="0"/>
          <w:iCs w:val="0"/>
          <w:smallCaps w:val="0"/>
          <w:strike w:val="0"/>
          <w:lang w:val="en-US" w:eastAsia="zh-CN"/>
        </w:rPr>
        <w:t>年中央衔接资金12533</w:t>
      </w:r>
      <w:r>
        <w:rPr>
          <w:rStyle w:val="5"/>
          <w:rFonts w:hint="eastAsia"/>
          <w:b w:val="0"/>
          <w:bCs w:val="0"/>
          <w:i w:val="0"/>
          <w:iCs w:val="0"/>
          <w:smallCaps w:val="0"/>
          <w:strike w:val="0"/>
          <w:lang w:val="en-US" w:eastAsia="zh-CN"/>
        </w:rPr>
        <w:t xml:space="preserve">万元。该项指标列 </w:t>
      </w:r>
      <w:r>
        <w:rPr>
          <w:rStyle w:val="5"/>
          <w:rFonts w:hint="eastAsia"/>
          <w:b w:val="0"/>
          <w:bCs w:val="0"/>
          <w:i w:val="0"/>
          <w:iCs w:val="0"/>
          <w:smallCaps w:val="0"/>
          <w:strike w:val="0"/>
          <w:lang w:val="zh-TW" w:eastAsia="zh-CN"/>
        </w:rPr>
        <w:t>2025</w:t>
      </w:r>
      <w:r>
        <w:rPr>
          <w:rStyle w:val="5"/>
          <w:rFonts w:hint="eastAsia"/>
          <w:b w:val="0"/>
          <w:bCs w:val="0"/>
          <w:i w:val="0"/>
          <w:iCs w:val="0"/>
          <w:smallCaps w:val="0"/>
          <w:strike w:val="0"/>
          <w:lang w:val="en-US" w:eastAsia="zh-CN"/>
        </w:rPr>
        <w:t>年政府收支分类科目</w:t>
      </w:r>
      <w:r>
        <w:rPr>
          <w:rStyle w:val="5"/>
          <w:rFonts w:hint="eastAsia"/>
          <w:b w:val="0"/>
          <w:bCs w:val="0"/>
          <w:i w:val="0"/>
          <w:iCs w:val="0"/>
          <w:smallCaps w:val="0"/>
          <w:strike w:val="0"/>
          <w:lang w:val="zh-TW" w:eastAsia="zh-CN"/>
        </w:rPr>
        <w:t>“1100231巩固脱贫攻坚成果衔接乡村 振兴转移支付收入"、"21305巩固脱贫攻坚成果衔接乡村振兴” 科目，支出功能科目按实际支出方向明确至相应项级。资金使用管理具体要求如下:</w:t>
      </w:r>
    </w:p>
    <w:p>
      <w:pPr>
        <w:pStyle w:val="6"/>
        <w:keepNext w:val="0"/>
        <w:keepLines w:val="0"/>
        <w:widowControl w:val="0"/>
        <w:shd w:val="clear" w:color="auto" w:fill="auto"/>
        <w:bidi w:val="0"/>
        <w:spacing w:before="0" w:after="0" w:line="519" w:lineRule="exact"/>
        <w:ind w:left="0" w:right="0" w:firstLine="600"/>
        <w:jc w:val="both"/>
        <w:rPr>
          <w:rStyle w:val="5"/>
          <w:b w:val="0"/>
          <w:bCs w:val="0"/>
          <w:i w:val="0"/>
          <w:iCs w:val="0"/>
          <w:smallCaps w:val="0"/>
          <w:strike w:val="0"/>
        </w:rPr>
      </w:pPr>
      <w:r>
        <w:rPr>
          <w:rStyle w:val="5"/>
          <w:b/>
          <w:bCs/>
          <w:i w:val="0"/>
          <w:iCs w:val="0"/>
          <w:smallCaps w:val="0"/>
          <w:strike w:val="0"/>
        </w:rPr>
        <w:t>一、加强资金使用管理。</w:t>
      </w:r>
      <w:r>
        <w:rPr>
          <w:rStyle w:val="5"/>
          <w:b w:val="0"/>
          <w:bCs w:val="0"/>
          <w:i w:val="0"/>
          <w:iCs w:val="0"/>
          <w:smallCaps w:val="0"/>
          <w:strike w:val="0"/>
        </w:rPr>
        <w:t xml:space="preserve">县（市）财政部门收到资金文件后, </w:t>
      </w:r>
      <w:r>
        <w:rPr>
          <w:rStyle w:val="5"/>
          <w:b/>
          <w:bCs/>
          <w:i w:val="0"/>
          <w:iCs w:val="0"/>
          <w:smallCaps w:val="0"/>
          <w:strike w:val="0"/>
        </w:rPr>
        <w:t>要</w:t>
      </w:r>
      <w:r>
        <w:rPr>
          <w:rStyle w:val="5"/>
          <w:b w:val="0"/>
          <w:bCs w:val="0"/>
          <w:i w:val="0"/>
          <w:iCs w:val="0"/>
          <w:smallCaps w:val="0"/>
          <w:strike w:val="0"/>
        </w:rPr>
        <w:t>及时书面通知同级主管部门，严格按照资金管理办法和指导意 见规定的用途使用资金，规范资金支出</w:t>
      </w:r>
      <w:r>
        <w:rPr>
          <w:rStyle w:val="5"/>
          <w:rFonts w:hint="eastAsia"/>
          <w:b w:val="0"/>
          <w:bCs w:val="0"/>
          <w:i w:val="0"/>
          <w:iCs w:val="0"/>
          <w:smallCaps w:val="0"/>
          <w:strike w:val="0"/>
          <w:kern w:val="2"/>
          <w:lang w:val="zh-TW" w:bidi="ar-SA"/>
        </w:rPr>
        <w:t>方向，不</w:t>
      </w:r>
      <w:r>
        <w:rPr>
          <w:rStyle w:val="5"/>
          <w:b w:val="0"/>
          <w:bCs w:val="0"/>
          <w:i w:val="0"/>
          <w:iCs w:val="0"/>
          <w:smallCaps w:val="0"/>
          <w:strike w:val="0"/>
        </w:rPr>
        <w:t>得随意扩大使用 范围，严禁资金用于负面清单及与巩固衔接工作无关的事项，严 禁违规使用、挤占挪用、贪污侵占、虚报冒领、滞留闲置资金。</w:t>
      </w:r>
    </w:p>
    <w:p>
      <w:pPr>
        <w:pStyle w:val="6"/>
        <w:keepNext w:val="0"/>
        <w:keepLines w:val="0"/>
        <w:widowControl w:val="0"/>
        <w:shd w:val="clear" w:color="auto" w:fill="auto"/>
        <w:bidi w:val="0"/>
        <w:spacing w:before="0" w:after="0" w:line="519" w:lineRule="exact"/>
        <w:ind w:left="0" w:right="0" w:firstLine="600"/>
        <w:jc w:val="both"/>
        <w:rPr>
          <w:rStyle w:val="5"/>
          <w:b w:val="0"/>
          <w:bCs w:val="0"/>
          <w:i w:val="0"/>
          <w:iCs w:val="0"/>
          <w:smallCaps w:val="0"/>
          <w:strike w:val="0"/>
        </w:rPr>
      </w:pPr>
      <w:r>
        <w:rPr>
          <w:rStyle w:val="5"/>
          <w:b w:val="0"/>
          <w:bCs w:val="0"/>
          <w:i w:val="0"/>
          <w:iCs w:val="0"/>
          <w:smallCaps w:val="0"/>
          <w:strike w:val="0"/>
        </w:rPr>
        <w:t>二、突出资金支持重点。</w:t>
      </w:r>
      <w:r>
        <w:rPr>
          <w:rStyle w:val="5"/>
          <w:b w:val="0"/>
          <w:bCs w:val="0"/>
          <w:i w:val="0"/>
          <w:iCs w:val="0"/>
          <w:smallCaps w:val="0"/>
          <w:strike w:val="0"/>
        </w:rPr>
        <w:t>认真贯彻落实习近平总书记关于更 多依靠发展来巩固脱贫攻坚成果的重要指示精神，督促相关部门 加强项目谋划，强化项目审核，严把项目质量，突出资金支持重 点，优先支持联农带农富农产业发展，中央衔接资金用于产业发 展的比重应达60%</w:t>
      </w:r>
      <w:r>
        <w:rPr>
          <w:rStyle w:val="5"/>
          <w:b w:val="0"/>
          <w:bCs w:val="0"/>
          <w:i w:val="0"/>
          <w:iCs w:val="0"/>
          <w:smallCaps w:val="0"/>
          <w:strike w:val="0"/>
        </w:rPr>
        <w:t>以上。认真贯彻落实习近平总书记关于农村饮 水安全保障的重要指示精神，将巩固提升农村饮水安全保障水平 作为支持重点，确保完成巩固拓展脱贫攻坚成果底线任务。</w:t>
      </w:r>
    </w:p>
    <w:p>
      <w:pPr>
        <w:pStyle w:val="6"/>
        <w:keepNext w:val="0"/>
        <w:keepLines w:val="0"/>
        <w:widowControl w:val="0"/>
        <w:shd w:val="clear" w:color="auto" w:fill="auto"/>
        <w:bidi w:val="0"/>
        <w:spacing w:before="0" w:after="0" w:line="519" w:lineRule="exact"/>
        <w:ind w:left="0" w:right="0" w:firstLine="600"/>
        <w:jc w:val="both"/>
      </w:pPr>
      <w:r>
        <w:rPr>
          <w:rStyle w:val="5"/>
          <w:b/>
          <w:bCs/>
          <w:i w:val="0"/>
          <w:iCs w:val="0"/>
          <w:smallCaps w:val="0"/>
          <w:strike w:val="0"/>
        </w:rPr>
        <w:t>三、强化资金绩效管理。</w:t>
      </w:r>
      <w:r>
        <w:rPr>
          <w:rStyle w:val="5"/>
          <w:b w:val="0"/>
          <w:bCs w:val="0"/>
          <w:i w:val="0"/>
          <w:iCs w:val="0"/>
          <w:smallCaps w:val="0"/>
          <w:strike w:val="0"/>
        </w:rPr>
        <w:t>压实相关行业主管部门资金绩效主 体责任，落实全面实施绩效管理要求，建立全过程绩效管理链条, 强化绩效目标审核，做好绩效运行监控，扎实开展绩效评价，加 强评价结果运用，突出资金使用成效，确保项目资产权属清晰、 运营高效、管护到位、发挥效益。</w:t>
      </w:r>
    </w:p>
    <w:p>
      <w:pPr>
        <w:pStyle w:val="6"/>
        <w:keepNext w:val="0"/>
        <w:keepLines w:val="0"/>
        <w:widowControl w:val="0"/>
        <w:shd w:val="clear" w:color="auto" w:fill="auto"/>
        <w:bidi w:val="0"/>
        <w:spacing w:before="0" w:after="0" w:line="519" w:lineRule="exact"/>
        <w:ind w:left="0" w:right="0" w:firstLine="600"/>
        <w:jc w:val="both"/>
        <w:rPr>
          <w:rStyle w:val="5"/>
          <w:b w:val="0"/>
          <w:bCs w:val="0"/>
          <w:i w:val="0"/>
          <w:iCs w:val="0"/>
          <w:smallCaps w:val="0"/>
          <w:strike w:val="0"/>
        </w:rPr>
      </w:pPr>
      <w:r>
        <w:rPr>
          <w:rStyle w:val="5"/>
          <w:b/>
          <w:bCs/>
          <w:i w:val="0"/>
          <w:iCs w:val="0"/>
          <w:smallCaps w:val="0"/>
          <w:strike w:val="0"/>
        </w:rPr>
        <w:t>四、做好公告公示工作。</w:t>
      </w:r>
      <w:r>
        <w:rPr>
          <w:rStyle w:val="5"/>
          <w:b w:val="0"/>
          <w:bCs w:val="0"/>
          <w:i w:val="0"/>
          <w:iCs w:val="0"/>
          <w:smallCaps w:val="0"/>
          <w:strike w:val="0"/>
        </w:rPr>
        <w:t>严格落实资金项目信息公告公示制 度要求，对资金分配结果、年度使用计划、支持项目、建设内容、 补助标准、资金来源及额度等信息按规定的程序进行公告、公示, 主动接受群众和社会监督，提供资金使用和项目实施的透明度， 促进资金项目规范管理。</w:t>
      </w:r>
    </w:p>
    <w:p>
      <w:pPr>
        <w:pStyle w:val="6"/>
        <w:keepNext w:val="0"/>
        <w:keepLines w:val="0"/>
        <w:widowControl w:val="0"/>
        <w:shd w:val="clear" w:color="auto" w:fill="auto"/>
        <w:bidi w:val="0"/>
        <w:spacing w:before="0" w:after="0" w:line="519" w:lineRule="exact"/>
        <w:ind w:left="0" w:right="0" w:firstLine="600"/>
        <w:jc w:val="both"/>
      </w:pPr>
      <w:r>
        <w:rPr>
          <w:rStyle w:val="5"/>
          <w:b/>
          <w:bCs/>
          <w:i w:val="0"/>
          <w:iCs w:val="0"/>
          <w:smallCaps w:val="0"/>
          <w:strike w:val="0"/>
        </w:rPr>
        <w:t>五、落实常态化监督要求。</w:t>
      </w:r>
      <w:r>
        <w:rPr>
          <w:rStyle w:val="5"/>
          <w:b w:val="0"/>
          <w:bCs w:val="0"/>
          <w:i w:val="0"/>
          <w:iCs w:val="0"/>
          <w:smallCaps w:val="0"/>
          <w:strike w:val="0"/>
        </w:rPr>
        <w:t>此次下达的中央衔接资金列入转 移支付预算执行常态化监督范围，县（市）财政部门要在预算管 理一体化系统及时登录预算指标，并保持"追踪”标识不变。将资 金分解落实到单位和具体项目时，对资金来源既包含中央衔接资 金又包含自治区衔接资金的，应在预算指标文件、预算管理一体 化系统中按资金明细来源分别列示和登录预算指标。县（市）财 政部门要依托预算管理一体化系统转移支付监控模块，加强日常 监管，提高转移支付资金管理使用的规范性和有效性。</w:t>
      </w:r>
    </w:p>
    <w:p>
      <w:pPr>
        <w:pStyle w:val="6"/>
        <w:keepNext w:val="0"/>
        <w:keepLines w:val="0"/>
        <w:widowControl w:val="0"/>
        <w:shd w:val="clear" w:color="auto" w:fill="auto"/>
        <w:bidi w:val="0"/>
        <w:spacing w:before="0" w:after="0" w:line="519" w:lineRule="exact"/>
        <w:ind w:left="0" w:right="0" w:firstLine="600"/>
        <w:jc w:val="both"/>
        <w:rPr>
          <w:rStyle w:val="5"/>
          <w:b w:val="0"/>
          <w:bCs w:val="0"/>
          <w:i w:val="0"/>
          <w:iCs w:val="0"/>
          <w:smallCaps w:val="0"/>
          <w:strike w:val="0"/>
        </w:rPr>
      </w:pPr>
      <w:r>
        <w:rPr>
          <w:rStyle w:val="5"/>
          <w:b w:val="0"/>
          <w:bCs w:val="0"/>
          <w:i w:val="0"/>
          <w:iCs w:val="0"/>
          <w:smallCaps w:val="0"/>
          <w:strike w:val="0"/>
        </w:rPr>
        <w:t>附件：1.</w:t>
      </w:r>
      <w:r>
        <w:rPr>
          <w:rStyle w:val="5"/>
          <w:rFonts w:hint="eastAsia"/>
          <w:b w:val="0"/>
          <w:bCs w:val="0"/>
          <w:i w:val="0"/>
          <w:iCs w:val="0"/>
          <w:smallCaps w:val="0"/>
          <w:strike w:val="0"/>
          <w:lang w:val="en-US"/>
        </w:rPr>
        <w:t>关于</w:t>
      </w:r>
      <w:r>
        <w:rPr>
          <w:rStyle w:val="5"/>
          <w:b w:val="0"/>
          <w:bCs w:val="0"/>
          <w:i w:val="0"/>
          <w:iCs w:val="0"/>
          <w:smallCaps w:val="0"/>
          <w:strike w:val="0"/>
        </w:rPr>
        <w:t>下达2025</w:t>
      </w:r>
      <w:r>
        <w:rPr>
          <w:rStyle w:val="5"/>
          <w:b w:val="0"/>
          <w:bCs w:val="0"/>
          <w:i w:val="0"/>
          <w:iCs w:val="0"/>
          <w:smallCaps w:val="0"/>
          <w:strike w:val="0"/>
        </w:rPr>
        <w:t>年中央财政衔接推进乡村振兴补助资金分配表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lang w:eastAsia="zh-CN"/>
        </w:rPr>
      </w:pPr>
      <w:r>
        <w:drawing>
          <wp:anchor distT="0" distB="0" distL="0" distR="0" simplePos="0" relativeHeight="62915584" behindDoc="1" locked="0" layoutInCell="1" allowOverlap="1">
            <wp:simplePos x="0" y="0"/>
            <wp:positionH relativeFrom="page">
              <wp:posOffset>4801870</wp:posOffset>
            </wp:positionH>
            <wp:positionV relativeFrom="paragraph">
              <wp:posOffset>325120</wp:posOffset>
            </wp:positionV>
            <wp:extent cx="1898650" cy="1711960"/>
            <wp:effectExtent l="0" t="0" r="6350" b="2540"/>
            <wp:wrapNone/>
            <wp:docPr id="4" name="Shape 3"/>
            <wp:cNvGraphicFramePr/>
            <a:graphic xmlns:a="http://schemas.openxmlformats.org/drawingml/2006/main">
              <a:graphicData uri="http://schemas.openxmlformats.org/drawingml/2006/picture">
                <pic:pic xmlns:pic="http://schemas.openxmlformats.org/drawingml/2006/picture">
                  <pic:nvPicPr>
                    <pic:cNvPr id="4" name="Shape 3"/>
                    <pic:cNvPicPr/>
                  </pic:nvPicPr>
                  <pic:blipFill>
                    <a:blip r:embed="rId4"/>
                    <a:stretch>
                      <a:fillRect/>
                    </a:stretch>
                  </pic:blipFill>
                  <pic:spPr>
                    <a:xfrm>
                      <a:off x="0" y="0"/>
                      <a:ext cx="1898650" cy="17119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尼勒克县财政局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2025年5月13日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28"/>
          <w:szCs w:val="28"/>
          <w:lang w:val="en-US" w:eastAsia="zh-CN"/>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18"/>
          <w:szCs w:val="18"/>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18"/>
          <w:szCs w:val="18"/>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18"/>
          <w:szCs w:val="18"/>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18"/>
          <w:szCs w:val="18"/>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18"/>
          <w:szCs w:val="18"/>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18"/>
          <w:szCs w:val="18"/>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18"/>
          <w:szCs w:val="18"/>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18"/>
          <w:szCs w:val="18"/>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18"/>
          <w:szCs w:val="18"/>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18"/>
          <w:szCs w:val="18"/>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18"/>
          <w:szCs w:val="18"/>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18"/>
          <w:szCs w:val="18"/>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18"/>
          <w:szCs w:val="18"/>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18"/>
          <w:szCs w:val="18"/>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18"/>
          <w:szCs w:val="18"/>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18"/>
          <w:szCs w:val="18"/>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18"/>
          <w:szCs w:val="18"/>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18"/>
          <w:szCs w:val="18"/>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18"/>
          <w:szCs w:val="18"/>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18"/>
          <w:szCs w:val="18"/>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18"/>
          <w:szCs w:val="18"/>
        </w:rPr>
      </w:pPr>
    </w:p>
    <w:p>
      <w:pPr>
        <w:pStyle w:val="4"/>
        <w:keepNext w:val="0"/>
        <w:keepLines w:val="0"/>
        <w:widowControl w:val="0"/>
        <w:shd w:val="clear" w:color="auto" w:fill="auto"/>
        <w:bidi w:val="0"/>
        <w:spacing w:before="0" w:line="240" w:lineRule="auto"/>
        <w:ind w:left="0" w:right="0" w:firstLine="520"/>
        <w:jc w:val="left"/>
        <w:rPr>
          <w:rStyle w:val="5"/>
          <w:rFonts w:hint="eastAsia"/>
          <w:b w:val="0"/>
          <w:bCs w:val="0"/>
          <w:i w:val="0"/>
          <w:iCs w:val="0"/>
          <w:smallCaps w:val="0"/>
          <w:strike w:val="0"/>
          <w:kern w:val="2"/>
          <w:shd w:val="clear"/>
          <w:lang w:bidi="ar-SA"/>
        </w:rPr>
      </w:pPr>
      <w:r>
        <w:rPr>
          <w:rStyle w:val="5"/>
          <w:b w:val="0"/>
          <w:bCs w:val="0"/>
          <w:i w:val="0"/>
          <w:iCs w:val="0"/>
          <w:smallCaps w:val="0"/>
          <w:strike w:val="0"/>
          <w:kern w:val="2"/>
          <w:shd w:val="clear"/>
          <w:lang w:bidi="ar-SA"/>
        </w:rPr>
        <w:t>附件：1</w:t>
      </w:r>
      <w:bookmarkStart w:id="3" w:name="_GoBack"/>
      <w:bookmarkEnd w:id="3"/>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Style w:val="5"/>
          <w:rFonts w:hint="eastAsia"/>
          <w:b w:val="0"/>
          <w:bCs w:val="0"/>
          <w:i w:val="0"/>
          <w:iCs w:val="0"/>
          <w:smallCaps w:val="0"/>
          <w:strike w:val="0"/>
          <w:kern w:val="2"/>
          <w:shd w:val="clear"/>
          <w:lang w:bidi="ar-SA"/>
        </w:rPr>
      </w:pPr>
      <w:r>
        <w:rPr>
          <w:rStyle w:val="5"/>
          <w:rFonts w:hint="eastAsia"/>
          <w:b w:val="0"/>
          <w:bCs w:val="0"/>
          <w:i w:val="0"/>
          <w:iCs w:val="0"/>
          <w:smallCaps w:val="0"/>
          <w:strike w:val="0"/>
          <w:kern w:val="2"/>
          <w:shd w:val="clear"/>
          <w:lang w:bidi="ar-SA"/>
        </w:rPr>
        <w:t>202</w:t>
      </w:r>
      <w:r>
        <w:rPr>
          <w:rStyle w:val="5"/>
          <w:rFonts w:hint="eastAsia"/>
          <w:b w:val="0"/>
          <w:bCs w:val="0"/>
          <w:i w:val="0"/>
          <w:iCs w:val="0"/>
          <w:smallCaps w:val="0"/>
          <w:strike w:val="0"/>
          <w:kern w:val="2"/>
          <w:shd w:val="clear"/>
          <w:lang w:val="en-US" w:eastAsia="zh-CN" w:bidi="ar-SA"/>
        </w:rPr>
        <w:t>5</w:t>
      </w:r>
      <w:r>
        <w:rPr>
          <w:rStyle w:val="5"/>
          <w:rFonts w:hint="eastAsia"/>
          <w:b w:val="0"/>
          <w:bCs w:val="0"/>
          <w:i w:val="0"/>
          <w:iCs w:val="0"/>
          <w:smallCaps w:val="0"/>
          <w:strike w:val="0"/>
          <w:kern w:val="2"/>
          <w:shd w:val="clear"/>
          <w:lang w:bidi="ar-SA"/>
        </w:rPr>
        <w:t>年中央财政衔接推进乡村振兴补助</w:t>
      </w:r>
      <w:r>
        <w:rPr>
          <w:rStyle w:val="5"/>
          <w:rFonts w:hint="eastAsia"/>
          <w:b w:val="0"/>
          <w:bCs w:val="0"/>
          <w:i w:val="0"/>
          <w:iCs w:val="0"/>
          <w:smallCaps w:val="0"/>
          <w:strike w:val="0"/>
          <w:kern w:val="2"/>
          <w:shd w:val="clear"/>
          <w:lang w:eastAsia="zh-CN" w:bidi="ar-SA"/>
        </w:rPr>
        <w:t>资金分配表</w:t>
      </w:r>
    </w:p>
    <w:tbl>
      <w:tblPr>
        <w:tblStyle w:val="3"/>
        <w:tblW w:w="8355" w:type="dxa"/>
        <w:tblInd w:w="0" w:type="dxa"/>
        <w:shd w:val="clear" w:color="auto" w:fill="auto"/>
        <w:tblLayout w:type="fixed"/>
        <w:tblCellMar>
          <w:top w:w="15" w:type="dxa"/>
          <w:left w:w="15" w:type="dxa"/>
          <w:bottom w:w="15" w:type="dxa"/>
          <w:right w:w="15" w:type="dxa"/>
        </w:tblCellMar>
      </w:tblPr>
      <w:tblGrid>
        <w:gridCol w:w="480"/>
        <w:gridCol w:w="2496"/>
        <w:gridCol w:w="2722"/>
        <w:gridCol w:w="1296"/>
        <w:gridCol w:w="1361"/>
      </w:tblGrid>
      <w:tr>
        <w:tblPrEx>
          <w:shd w:val="clear" w:color="auto" w:fill="auto"/>
          <w:tblLayout w:type="fixed"/>
          <w:tblCellMar>
            <w:top w:w="15" w:type="dxa"/>
            <w:left w:w="15" w:type="dxa"/>
            <w:bottom w:w="15" w:type="dxa"/>
            <w:right w:w="15" w:type="dxa"/>
          </w:tblCellMar>
        </w:tblPrEx>
        <w:tc>
          <w:tcPr>
            <w:tcW w:w="4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default" w:ascii="Calibri" w:hAnsi="Calibri" w:eastAsia="宋体" w:cs="Calibri"/>
                <w:b/>
                <w:i w:val="0"/>
                <w:color w:val="000000"/>
                <w:kern w:val="0"/>
                <w:sz w:val="21"/>
                <w:szCs w:val="21"/>
                <w:u w:val="none"/>
                <w:lang w:val="en-US" w:eastAsia="zh-CN" w:bidi="ar"/>
              </w:rPr>
              <w:t>序号</w:t>
            </w:r>
          </w:p>
        </w:tc>
        <w:tc>
          <w:tcPr>
            <w:tcW w:w="249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default" w:ascii="Calibri" w:hAnsi="Calibri" w:eastAsia="宋体" w:cs="Calibri"/>
                <w:b/>
                <w:i w:val="0"/>
                <w:color w:val="000000"/>
                <w:kern w:val="0"/>
                <w:sz w:val="21"/>
                <w:szCs w:val="21"/>
                <w:u w:val="none"/>
                <w:lang w:val="en-US" w:eastAsia="zh-CN" w:bidi="ar"/>
              </w:rPr>
              <w:t>项目名称</w:t>
            </w:r>
          </w:p>
        </w:tc>
        <w:tc>
          <w:tcPr>
            <w:tcW w:w="272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default" w:ascii="Calibri" w:hAnsi="Calibri" w:eastAsia="宋体" w:cs="Calibri"/>
                <w:b/>
                <w:i w:val="0"/>
                <w:color w:val="000000"/>
                <w:kern w:val="0"/>
                <w:sz w:val="21"/>
                <w:szCs w:val="21"/>
                <w:u w:val="none"/>
                <w:lang w:val="en-US" w:eastAsia="zh-CN" w:bidi="ar"/>
              </w:rPr>
              <w:t>建设地点</w:t>
            </w:r>
          </w:p>
        </w:tc>
        <w:tc>
          <w:tcPr>
            <w:tcW w:w="1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default" w:ascii="Calibri" w:hAnsi="Calibri" w:eastAsia="宋体" w:cs="Calibri"/>
                <w:b/>
                <w:i w:val="0"/>
                <w:color w:val="000000"/>
                <w:kern w:val="0"/>
                <w:sz w:val="21"/>
                <w:szCs w:val="21"/>
                <w:u w:val="none"/>
                <w:lang w:val="en-US" w:eastAsia="zh-CN" w:bidi="ar"/>
              </w:rPr>
              <w:t>投资规模</w:t>
            </w:r>
          </w:p>
        </w:tc>
        <w:tc>
          <w:tcPr>
            <w:tcW w:w="136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default" w:ascii="Calibri" w:hAnsi="Calibri" w:eastAsia="宋体" w:cs="Calibri"/>
                <w:b/>
                <w:i w:val="0"/>
                <w:color w:val="000000"/>
                <w:kern w:val="0"/>
                <w:sz w:val="21"/>
                <w:szCs w:val="21"/>
                <w:u w:val="none"/>
                <w:lang w:val="en-US" w:eastAsia="zh-CN" w:bidi="ar"/>
              </w:rPr>
              <w:t>责任单位</w:t>
            </w:r>
          </w:p>
        </w:tc>
      </w:tr>
      <w:tr>
        <w:tblPrEx>
          <w:tblLayout w:type="fixed"/>
          <w:tblCellMar>
            <w:top w:w="15" w:type="dxa"/>
            <w:left w:w="15" w:type="dxa"/>
            <w:bottom w:w="15" w:type="dxa"/>
            <w:right w:w="15" w:type="dxa"/>
          </w:tblCellMar>
        </w:tblPrEx>
        <w:tc>
          <w:tcPr>
            <w:tcW w:w="4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left"/>
              <w:rPr>
                <w:sz w:val="21"/>
                <w:szCs w:val="21"/>
              </w:rPr>
            </w:pPr>
          </w:p>
        </w:tc>
        <w:tc>
          <w:tcPr>
            <w:tcW w:w="249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sz w:val="21"/>
                <w:szCs w:val="21"/>
              </w:rPr>
            </w:pPr>
          </w:p>
        </w:tc>
        <w:tc>
          <w:tcPr>
            <w:tcW w:w="272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sz w:val="21"/>
                <w:szCs w:val="21"/>
              </w:rPr>
            </w:pPr>
          </w:p>
        </w:tc>
        <w:tc>
          <w:tcPr>
            <w:tcW w:w="1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default" w:ascii="Calibri" w:hAnsi="Calibri" w:eastAsia="宋体" w:cs="Calibri"/>
                <w:b/>
                <w:i w:val="0"/>
                <w:color w:val="000000"/>
                <w:kern w:val="0"/>
                <w:sz w:val="21"/>
                <w:szCs w:val="21"/>
                <w:u w:val="none"/>
                <w:lang w:val="en-US" w:eastAsia="zh-CN" w:bidi="ar"/>
              </w:rPr>
              <w:t>（万元）</w:t>
            </w:r>
          </w:p>
        </w:tc>
        <w:tc>
          <w:tcPr>
            <w:tcW w:w="136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sz w:val="21"/>
                <w:szCs w:val="21"/>
              </w:rPr>
            </w:pPr>
          </w:p>
        </w:tc>
      </w:tr>
      <w:tr>
        <w:tblPrEx>
          <w:tblLayout w:type="fixed"/>
          <w:tblCellMar>
            <w:top w:w="15" w:type="dxa"/>
            <w:left w:w="15" w:type="dxa"/>
            <w:bottom w:w="15" w:type="dxa"/>
            <w:right w:w="15"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default" w:ascii="Calibri" w:hAnsi="Calibri" w:eastAsia="宋体" w:cs="Calibri"/>
                <w:i w:val="0"/>
                <w:color w:val="000000"/>
                <w:kern w:val="0"/>
                <w:sz w:val="21"/>
                <w:szCs w:val="21"/>
                <w:u w:val="none"/>
                <w:lang w:val="en-US" w:eastAsia="zh-CN" w:bidi="ar"/>
              </w:rPr>
              <w:t>1</w:t>
            </w:r>
          </w:p>
        </w:tc>
        <w:tc>
          <w:tcPr>
            <w:tcW w:w="24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0"/>
                <w:szCs w:val="20"/>
                <w:u w:val="none"/>
                <w:lang w:val="en-US" w:eastAsia="zh-CN" w:bidi="ar"/>
              </w:rPr>
              <w:t>尼勒克县2024年推动产业帮扶精准到户项目尼勒克县易地扶贫搬迁融资模式调整规范后的地方政府债券贴息补助项目</w:t>
            </w:r>
          </w:p>
        </w:tc>
        <w:tc>
          <w:tcPr>
            <w:tcW w:w="27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eastAsiaTheme="minorEastAsia"/>
                <w:sz w:val="21"/>
                <w:szCs w:val="21"/>
                <w:lang w:val="en-US" w:eastAsia="zh-CN"/>
              </w:rPr>
            </w:pPr>
            <w:r>
              <w:rPr>
                <w:rFonts w:hint="eastAsia"/>
                <w:sz w:val="21"/>
                <w:szCs w:val="21"/>
                <w:lang w:val="en-US" w:eastAsia="zh-CN"/>
              </w:rPr>
              <w:t>尼勒克县</w:t>
            </w:r>
          </w:p>
        </w:tc>
        <w:tc>
          <w:tcPr>
            <w:tcW w:w="1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default"/>
                <w:sz w:val="21"/>
                <w:szCs w:val="21"/>
                <w:lang w:val="en-US"/>
              </w:rPr>
            </w:pPr>
            <w:r>
              <w:rPr>
                <w:rFonts w:hint="eastAsia" w:ascii="宋体" w:hAnsi="宋体" w:eastAsia="宋体" w:cs="宋体"/>
                <w:i w:val="0"/>
                <w:color w:val="000000"/>
                <w:kern w:val="0"/>
                <w:sz w:val="20"/>
                <w:szCs w:val="20"/>
                <w:u w:val="none"/>
                <w:lang w:val="en-US" w:eastAsia="zh-CN" w:bidi="ar"/>
              </w:rPr>
              <w:t>29.47</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2"/>
                <w:szCs w:val="22"/>
                <w:u w:val="none"/>
                <w:lang w:val="en-US" w:eastAsia="zh-CN" w:bidi="ar"/>
              </w:rPr>
              <w:t>财政局</w:t>
            </w:r>
          </w:p>
        </w:tc>
      </w:tr>
      <w:tr>
        <w:tblPrEx>
          <w:tblLayout w:type="fixed"/>
          <w:tblCellMar>
            <w:top w:w="15" w:type="dxa"/>
            <w:left w:w="15" w:type="dxa"/>
            <w:bottom w:w="15" w:type="dxa"/>
            <w:right w:w="15"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default" w:ascii="Calibri" w:hAnsi="Calibri" w:eastAsia="宋体" w:cs="Calibri"/>
                <w:i w:val="0"/>
                <w:color w:val="000000"/>
                <w:kern w:val="0"/>
                <w:sz w:val="21"/>
                <w:szCs w:val="21"/>
                <w:u w:val="none"/>
                <w:lang w:val="en-US" w:eastAsia="zh-CN" w:bidi="ar"/>
              </w:rPr>
            </w:pPr>
            <w:r>
              <w:rPr>
                <w:rFonts w:hint="eastAsia" w:ascii="Calibri" w:hAnsi="Calibri" w:eastAsia="宋体" w:cs="Calibri"/>
                <w:i w:val="0"/>
                <w:color w:val="000000"/>
                <w:kern w:val="0"/>
                <w:sz w:val="21"/>
                <w:szCs w:val="21"/>
                <w:u w:val="none"/>
                <w:lang w:val="en-US" w:eastAsia="zh-CN" w:bidi="ar"/>
              </w:rPr>
              <w:t>2</w:t>
            </w:r>
          </w:p>
        </w:tc>
        <w:tc>
          <w:tcPr>
            <w:tcW w:w="24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尼勒克县2025年农村户厕补助项目</w:t>
            </w:r>
          </w:p>
        </w:tc>
        <w:tc>
          <w:tcPr>
            <w:tcW w:w="27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尼勒克县</w:t>
            </w:r>
          </w:p>
        </w:tc>
        <w:tc>
          <w:tcPr>
            <w:tcW w:w="1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农业农村局</w:t>
            </w:r>
          </w:p>
        </w:tc>
      </w:tr>
      <w:tr>
        <w:tblPrEx>
          <w:tblLayout w:type="fixed"/>
          <w:tblCellMar>
            <w:top w:w="15" w:type="dxa"/>
            <w:left w:w="15" w:type="dxa"/>
            <w:bottom w:w="15" w:type="dxa"/>
            <w:right w:w="15"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default" w:ascii="Calibri" w:hAnsi="Calibri" w:eastAsia="宋体" w:cs="Calibri"/>
                <w:i w:val="0"/>
                <w:color w:val="000000"/>
                <w:kern w:val="0"/>
                <w:sz w:val="21"/>
                <w:szCs w:val="21"/>
                <w:u w:val="none"/>
                <w:lang w:val="en-US" w:eastAsia="zh-CN" w:bidi="ar"/>
              </w:rPr>
            </w:pPr>
            <w:r>
              <w:rPr>
                <w:rFonts w:hint="eastAsia" w:ascii="Calibri" w:hAnsi="Calibri" w:eastAsia="宋体" w:cs="Calibri"/>
                <w:i w:val="0"/>
                <w:color w:val="000000"/>
                <w:kern w:val="0"/>
                <w:sz w:val="21"/>
                <w:szCs w:val="21"/>
                <w:u w:val="none"/>
                <w:lang w:val="en-US" w:eastAsia="zh-CN" w:bidi="ar"/>
              </w:rPr>
              <w:t>3</w:t>
            </w:r>
          </w:p>
        </w:tc>
        <w:tc>
          <w:tcPr>
            <w:tcW w:w="24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尼勒克县木斯镇木斯村塔勒德沟牧道建设项目</w:t>
            </w:r>
          </w:p>
        </w:tc>
        <w:tc>
          <w:tcPr>
            <w:tcW w:w="27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木斯镇</w:t>
            </w:r>
          </w:p>
        </w:tc>
        <w:tc>
          <w:tcPr>
            <w:tcW w:w="1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207</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木斯镇</w:t>
            </w:r>
          </w:p>
        </w:tc>
      </w:tr>
      <w:tr>
        <w:tblPrEx>
          <w:tblLayout w:type="fixed"/>
          <w:tblCellMar>
            <w:top w:w="15" w:type="dxa"/>
            <w:left w:w="15" w:type="dxa"/>
            <w:bottom w:w="15" w:type="dxa"/>
            <w:right w:w="15"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default" w:ascii="Calibri" w:hAnsi="Calibri" w:eastAsia="宋体" w:cs="Calibri"/>
                <w:i w:val="0"/>
                <w:color w:val="000000"/>
                <w:kern w:val="0"/>
                <w:sz w:val="21"/>
                <w:szCs w:val="21"/>
                <w:u w:val="none"/>
                <w:lang w:val="en-US" w:eastAsia="zh-CN" w:bidi="ar"/>
              </w:rPr>
            </w:pPr>
            <w:r>
              <w:rPr>
                <w:rFonts w:hint="eastAsia" w:ascii="Calibri" w:hAnsi="Calibri" w:eastAsia="宋体" w:cs="Calibri"/>
                <w:i w:val="0"/>
                <w:color w:val="000000"/>
                <w:kern w:val="0"/>
                <w:sz w:val="21"/>
                <w:szCs w:val="21"/>
                <w:u w:val="none"/>
                <w:lang w:val="en-US" w:eastAsia="zh-CN" w:bidi="ar"/>
              </w:rPr>
              <w:t>4</w:t>
            </w:r>
          </w:p>
        </w:tc>
        <w:tc>
          <w:tcPr>
            <w:tcW w:w="24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尼勒克县2025年产业帮扶精准到户项目（二期）</w:t>
            </w:r>
          </w:p>
        </w:tc>
        <w:tc>
          <w:tcPr>
            <w:tcW w:w="27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尼勒克县</w:t>
            </w:r>
          </w:p>
        </w:tc>
        <w:tc>
          <w:tcPr>
            <w:tcW w:w="1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733.53</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农业农村局</w:t>
            </w:r>
          </w:p>
        </w:tc>
      </w:tr>
    </w:tbl>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161A8A"/>
    <w:rsid w:val="26784F0C"/>
    <w:rsid w:val="2D794061"/>
    <w:rsid w:val="32957F31"/>
    <w:rsid w:val="687B503D"/>
    <w:rsid w:val="6B027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Body text|2"/>
    <w:basedOn w:val="1"/>
    <w:qFormat/>
    <w:uiPriority w:val="0"/>
    <w:pPr>
      <w:widowControl w:val="0"/>
      <w:shd w:val="clear" w:color="auto" w:fill="auto"/>
      <w:spacing w:after="60"/>
      <w:ind w:firstLine="260"/>
    </w:pPr>
    <w:rPr>
      <w:rFonts w:ascii="宋体" w:hAnsi="宋体" w:eastAsia="宋体" w:cs="宋体"/>
      <w:sz w:val="15"/>
      <w:szCs w:val="15"/>
      <w:u w:val="none"/>
      <w:shd w:val="clear" w:color="auto" w:fill="auto"/>
      <w:lang w:val="zh-TW" w:eastAsia="zh-TW" w:bidi="zh-TW"/>
    </w:rPr>
  </w:style>
  <w:style w:type="character" w:customStyle="1" w:styleId="5">
    <w:name w:val="正文文本_"/>
    <w:basedOn w:val="2"/>
    <w:link w:val="6"/>
    <w:qFormat/>
    <w:uiPriority w:val="0"/>
    <w:rPr>
      <w:rFonts w:ascii="宋体" w:hAnsi="宋体" w:eastAsia="宋体" w:cs="宋体"/>
      <w:sz w:val="28"/>
      <w:szCs w:val="28"/>
      <w:u w:val="none"/>
      <w:lang w:val="zh-CN" w:eastAsia="zh-CN"/>
    </w:rPr>
  </w:style>
  <w:style w:type="paragraph" w:customStyle="1" w:styleId="6">
    <w:name w:val="正文文本1"/>
    <w:basedOn w:val="1"/>
    <w:link w:val="5"/>
    <w:qFormat/>
    <w:uiPriority w:val="0"/>
    <w:pPr>
      <w:widowControl w:val="0"/>
      <w:shd w:val="clear" w:color="auto" w:fill="auto"/>
      <w:spacing w:line="391" w:lineRule="auto"/>
      <w:ind w:firstLine="400"/>
    </w:pPr>
    <w:rPr>
      <w:rFonts w:ascii="宋体" w:hAnsi="宋体" w:eastAsia="宋体" w:cs="宋体"/>
      <w:sz w:val="28"/>
      <w:szCs w:val="28"/>
      <w:u w:val="none"/>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2024-09-23T09:04:00Z</dcterms:created>
  <dc:creator>Administrator</dc:creator>
  <cp:lastModifiedBy>Administrator</cp:lastModifiedBy>
  <dcterms:modified xsi:type="dcterms:W3CDTF">2025-09-10T02:49:00Z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