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hd w:val="clear" w:color="auto" w:fill="auto"/>
        <w:bidi w:val="0"/>
        <w:spacing w:before="0" w:after="1060" w:line="240" w:lineRule="auto"/>
        <w:ind w:left="0" w:right="0" w:firstLine="0"/>
        <w:jc w:val="both"/>
        <w:outlineLvl w:val="0"/>
        <w:rPr>
          <w:rFonts w:hint="eastAsia" w:ascii="宋体" w:hAnsi="宋体" w:eastAsia="宋体" w:cs="宋体"/>
          <w:color w:val="F16249"/>
          <w:spacing w:val="0"/>
          <w:w w:val="100"/>
          <w:position w:val="0"/>
          <w:sz w:val="100"/>
          <w:szCs w:val="100"/>
          <w:u w:val="none"/>
          <w:shd w:val="clear" w:color="auto" w:fill="auto"/>
          <w:lang w:val="zh-TW" w:eastAsia="zh-CN" w:bidi="zh-TW"/>
        </w:rPr>
      </w:pPr>
      <w:bookmarkStart w:id="0" w:name="bookmark2"/>
      <w:bookmarkStart w:id="1" w:name="bookmark0"/>
      <w:bookmarkStart w:id="2" w:name="bookmark1"/>
    </w:p>
    <w:p>
      <w:pPr>
        <w:keepNext w:val="0"/>
        <w:keepLines w:val="0"/>
        <w:shd w:val="clear" w:color="auto" w:fill="auto"/>
        <w:bidi w:val="0"/>
        <w:spacing w:before="0" w:after="0" w:line="1400" w:lineRule="exact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  <w:r>
        <w:rPr>
          <w:rFonts w:hint="eastAsia" w:ascii="方正小标宋简体" w:hAnsi="Times New Roman" w:eastAsia="方正小标宋简体" w:cs="Times New Roman"/>
          <w:b/>
          <w:color w:val="FF0000"/>
          <w:spacing w:val="0"/>
          <w:w w:val="70"/>
          <w:kern w:val="2"/>
          <w:position w:val="0"/>
          <w:sz w:val="124"/>
          <w:szCs w:val="100"/>
          <w:shd w:val="clear" w:color="auto" w:fill="auto"/>
          <w:lang w:eastAsia="zh-CN" w:bidi="ar-SA"/>
        </w:rPr>
        <w:t>尼勒克县财政局文件</w:t>
      </w:r>
      <w:bookmarkEnd w:id="0"/>
      <w:bookmarkEnd w:id="1"/>
      <w:bookmarkEnd w:id="2"/>
    </w:p>
    <w:p>
      <w:pPr>
        <w:keepNext w:val="0"/>
        <w:keepLines w:val="0"/>
        <w:shd w:val="clear" w:color="auto" w:fill="auto"/>
        <w:bidi w:val="0"/>
        <w:spacing w:before="0" w:after="0" w:line="36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en-US" w:bidi="en-US"/>
        </w:rPr>
      </w:pPr>
    </w:p>
    <w:p>
      <w:pPr>
        <w:keepNext w:val="0"/>
        <w:keepLines w:val="0"/>
        <w:shd w:val="clear" w:color="auto" w:fill="auto"/>
        <w:bidi w:val="0"/>
        <w:spacing w:before="0" w:after="0" w:line="36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en-US" w:bidi="en-US"/>
        </w:rPr>
      </w:pPr>
    </w:p>
    <w:p>
      <w:pPr>
        <w:keepNext w:val="0"/>
        <w:keepLines w:val="0"/>
        <w:shd w:val="clear" w:color="auto" w:fill="auto"/>
        <w:bidi w:val="0"/>
        <w:spacing w:before="0" w:after="0" w:line="36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en-US" w:bidi="en-US"/>
        </w:rPr>
      </w:pPr>
      <w:r>
        <w:rPr>
          <w:rFonts w:hint="eastAsia" w:ascii="Times New Roman" w:hAnsi="Times New Roman" w:eastAsia="宋体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zh-CN" w:bidi="en-US"/>
        </w:rPr>
        <w:t>尼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en-US" w:bidi="en-US"/>
        </w:rPr>
        <w:t>财农〔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2024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en-US" w:bidi="en-US"/>
        </w:rPr>
        <w:t>〕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52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en-US" w:bidi="en-US"/>
        </w:rPr>
        <w:t>号</w:t>
      </w:r>
    </w:p>
    <w:p>
      <w:pPr>
        <w:keepNext w:val="0"/>
        <w:keepLines w:val="0"/>
        <w:shd w:val="clear" w:color="auto" w:fill="auto"/>
        <w:bidi w:val="0"/>
        <w:spacing w:before="0" w:after="0" w:line="360" w:lineRule="auto"/>
        <w:ind w:left="0" w:right="0" w:firstLine="0"/>
        <w:jc w:val="left"/>
        <w:rPr>
          <w:rFonts w:hint="eastAsia" w:ascii="方正小标宋简体" w:hAnsi="Times New Roman" w:eastAsia="方正小标宋简体" w:cs="Times New Roman"/>
          <w:color w:val="FF0000"/>
          <w:spacing w:val="0"/>
          <w:w w:val="100"/>
          <w:kern w:val="2"/>
          <w:position w:val="0"/>
          <w:sz w:val="44"/>
          <w:szCs w:val="44"/>
          <w:shd w:val="clear" w:color="auto" w:fill="auto"/>
          <w:lang w:eastAsia="zh-CN" w:bidi="ar-SA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44"/>
          <w:szCs w:val="18"/>
          <w:shd w:val="clear" w:color="auto" w:fill="auto"/>
          <w:lang w:eastAsia="en-US" w:bidi="en-US"/>
        </w:rPr>
        <mc:AlternateContent>
          <mc:Choice Requires="wps">
            <w:drawing>
              <wp:anchor distT="0" distB="0" distL="114300" distR="114300" simplePos="0" relativeHeight="12583116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-31750</wp:posOffset>
                </wp:positionV>
                <wp:extent cx="5810250" cy="0"/>
                <wp:effectExtent l="33655" t="29845" r="42545" b="844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148080" y="4656455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2pt;margin-top:-2.5pt;height:0pt;width:457.5pt;z-index:125831168;mso-width-relative:page;mso-height-relative:page;" filled="f" stroked="t" coordsize="21600,21600" o:gfxdata="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bpK6y1gAAAAgBAAAPAAAAAAAAAAEAIAAAACIAAABkcnMvZG93bnJldi54bWxQSwECFAAUAAAA&#10;CACHTuJAfCNyQykCAAAmBAAADgAAAAAAAAABACAAAAAlAQAAZHJzL2Uyb0RvYy54bWxQSwUGAAAA&#10;AAYABgBZAQAAwAUAAAAA&#10;">
                <v:fill on="f" focussize="0,0"/>
                <v:stroke weight="3pt" color="#FF0000 [3205]" miterlimit="8" joinstyle="miter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7" w:line="360" w:lineRule="auto"/>
        <w:ind w:right="379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44"/>
          <w:szCs w:val="44"/>
          <w:lang w:val="zh-TW" w:eastAsia="zh-TW"/>
        </w:rPr>
      </w:pPr>
      <w:bookmarkStart w:id="3" w:name="bookmark3"/>
      <w:bookmarkStart w:id="4" w:name="bookmark5"/>
      <w:bookmarkStart w:id="5" w:name="bookmark4"/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44"/>
          <w:szCs w:val="44"/>
        </w:rPr>
        <w:t>关于</w:t>
      </w:r>
      <w:bookmarkEnd w:id="3"/>
      <w:bookmarkEnd w:id="4"/>
      <w:bookmarkEnd w:id="5"/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44"/>
          <w:szCs w:val="44"/>
        </w:rPr>
        <w:t>提前下达 202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44"/>
          <w:szCs w:val="44"/>
        </w:rPr>
        <w:t xml:space="preserve"> 年中央财政衔接推进乡村振兴补助资金预算的通知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zh-TW" w:eastAsia="zh-TW"/>
        </w:rPr>
      </w:pPr>
      <w:r>
        <w:rPr>
          <w:rFonts w:hint="eastAsia" w:ascii="宋体" w:hAnsi="宋体" w:eastAsia="宋体" w:cs="宋体"/>
          <w:sz w:val="32"/>
          <w:szCs w:val="32"/>
          <w:lang w:val="zh-TW" w:eastAsia="zh-CN"/>
        </w:rPr>
        <w:t>尼勒克县农业农村局</w:t>
      </w:r>
      <w:r>
        <w:rPr>
          <w:rFonts w:hint="eastAsia" w:ascii="宋体" w:hAnsi="宋体" w:eastAsia="宋体" w:cs="宋体"/>
          <w:sz w:val="32"/>
          <w:szCs w:val="32"/>
          <w:lang w:val="zh-TW" w:eastAsia="zh-TW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3" w:after="181" w:afterLines="50"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根据《关于提前下达202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5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年中央财政衔接推进乡村振兴补助资金预算的通知(</w:t>
      </w:r>
      <w:r>
        <w:rPr>
          <w:rFonts w:ascii="宋体" w:hAnsi="宋体" w:eastAsia="宋体" w:cs="宋体"/>
          <w:spacing w:val="-7"/>
          <w:sz w:val="31"/>
          <w:szCs w:val="31"/>
        </w:rPr>
        <w:t>伊州财农〔202</w:t>
      </w:r>
      <w:r>
        <w:rPr>
          <w:rFonts w:hint="eastAsia" w:ascii="宋体" w:hAnsi="宋体" w:eastAsia="宋体" w:cs="宋体"/>
          <w:spacing w:val="-7"/>
          <w:sz w:val="31"/>
          <w:szCs w:val="31"/>
          <w:lang w:val="en-US" w:eastAsia="zh-CN"/>
        </w:rPr>
        <w:t>4</w:t>
      </w:r>
      <w:r>
        <w:rPr>
          <w:rFonts w:ascii="宋体" w:hAnsi="宋体" w:eastAsia="宋体" w:cs="宋体"/>
          <w:spacing w:val="-7"/>
          <w:sz w:val="31"/>
          <w:szCs w:val="31"/>
        </w:rPr>
        <w:t>〕</w:t>
      </w:r>
      <w:r>
        <w:rPr>
          <w:rFonts w:hint="eastAsia" w:ascii="宋体" w:hAnsi="宋体" w:eastAsia="宋体" w:cs="宋体"/>
          <w:spacing w:val="-7"/>
          <w:sz w:val="31"/>
          <w:szCs w:val="31"/>
          <w:lang w:val="en-US" w:eastAsia="zh-CN"/>
        </w:rPr>
        <w:t>52</w:t>
      </w:r>
      <w:r>
        <w:rPr>
          <w:rFonts w:ascii="宋体" w:hAnsi="宋体" w:eastAsia="宋体" w:cs="宋体"/>
          <w:spacing w:val="-7"/>
          <w:sz w:val="31"/>
          <w:szCs w:val="31"/>
        </w:rPr>
        <w:t>号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),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（以下简称“衔接资金”），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现提前下达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我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县2025 年中央衔接资</w:t>
      </w:r>
      <w:bookmarkStart w:id="6" w:name="_GoBack"/>
      <w:bookmarkEnd w:id="6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金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11263万元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 xml:space="preserve">，收入列2025 年政府收支分类科目 </w:t>
      </w:r>
      <w:r>
        <w:rPr>
          <w:rFonts w:hint="default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“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1100231巩固脱贫攻坚成果衔接乡村振兴转移支付收入</w:t>
      </w:r>
      <w:r>
        <w:rPr>
          <w:rFonts w:hint="default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”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、</w:t>
      </w:r>
      <w:r>
        <w:rPr>
          <w:rFonts w:hint="default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“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支出列21305巩固脱贫攻坚成果衔接乡村振兴</w:t>
      </w:r>
      <w:r>
        <w:rPr>
          <w:rFonts w:hint="default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”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 xml:space="preserve">，待2025年预 算年度开始后按程序使用，支出功能科目应根据实际支出方向明确至相应项级。现将有关事项通知如下: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43" w:after="181" w:afterLines="50" w:line="36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一、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加强资金使用管理。请各县(市)尽快做好分解下达竿 相关工作，严格按照资金管理办法和指导意见规定的用途使用资 金，规范资金支出方向，不得随意扩大使用范围，严禁资金用于负面清单及与巩固衔接工作无关的事项，严禁挤占挪用、贪污侵 占、虚报冒领、滞留闲置资金。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43" w:after="181" w:afterLines="50" w:line="36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二、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突出资金支持重点。督促相关部门加强项目谋划等前期 工作，强化项目审核，严把项目质量，突出资金文持重点，优先 支持联农带农富农产业发展，健全完善利益联结机制，带动农民 群众稳定就业持续增收，更多分享产业增值收益，增强自我发展 能力，更好巩固拓展脱贫攻坚成果，衔接推进乡村全面振兴。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43" w:after="181" w:afterLines="50" w:line="36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三、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强化项目绩效管理。压实相关行业主管部门预算绩效主 体责任，落实全面实施绩效管理要求，建立全过程绩效管理链条， 强化绩效目标审核，做好绩效运行监控，扎实开展绩效评价，加 强评价结果运用，突出资金使用成效，确保项目资产权属清晰、 运营高效、管护到位、发挥效益。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43" w:after="181" w:afterLines="50" w:line="36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四、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 xml:space="preserve">做好公告公示工作。严格落实资金项目信息公告公示制度要求，对资金分配结果、年度使用计划、支持项目、建设内容、补助标准、资金来源及额度等信息按规定程序进行公告公示，主动接受群众和社会监督，提高资金使用和项目实施的透明度，促进资金项目规范管理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43" w:after="181" w:afterLines="50" w:line="36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五、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落实预算执行常态化监督要求。此次下达的中央衔接资金列入转移支付预算执行常态化监督范围，县(市)财政部门要 "在预算管理一体化系统及时登录预算指标，并保持"追踪"标 识不变。将资金分解落实到单位和具体项目时，对资金来源既包 含中央衔接资金又包含自治区衔接资金的，应在预算指标文件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预算管理一体化系统中按资金明细来源分别列示和登录预算指标。州县财政部门要依托预算管理一体化系统转移支付监控模块，加强日常监管，提高转移支付资金管理使用的规范性和有效性。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360" w:lineRule="auto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 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附件 ∶1.提前下达 202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5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 xml:space="preserve"> 年中央财政衔接推进乡村振兴补助资金分配表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4039870</wp:posOffset>
            </wp:positionH>
            <wp:positionV relativeFrom="paragraph">
              <wp:posOffset>23495</wp:posOffset>
            </wp:positionV>
            <wp:extent cx="1898650" cy="1711960"/>
            <wp:effectExtent l="0" t="0" r="6350" b="10160"/>
            <wp:wrapNone/>
            <wp:docPr id="4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ap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  <w:t>尼勒克县财政局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/>
        <w:jc w:val="center"/>
        <w:textAlignment w:val="auto"/>
        <w:rPr>
          <w:rFonts w:hint="default"/>
          <w:lang w:val="en-US" w:eastAsia="zh-CN"/>
        </w:rPr>
        <w:sectPr>
          <w:footerReference r:id="rId4" w:type="first"/>
          <w:footerReference r:id="rId3" w:type="default"/>
          <w:footnotePr>
            <w:numFmt w:val="decimal"/>
          </w:footnotePr>
          <w:pgSz w:w="12240" w:h="15840"/>
          <w:pgMar w:top="1440" w:right="1803" w:bottom="2284" w:left="1803" w:header="0" w:footer="3" w:gutter="0"/>
          <w:pgNumType w:start="1"/>
          <w:cols w:space="720" w:num="1"/>
          <w:titlePg/>
          <w:rtlGutter w:val="0"/>
          <w:docGrid w:linePitch="360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2024年12月6日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  <w:rPr>
          <w:sz w:val="21"/>
          <w:szCs w:val="21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附件：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1"/>
        </w:rPr>
        <w:t>1</w:t>
      </w:r>
    </w:p>
    <w:p>
      <w:pPr>
        <w:spacing w:before="136" w:line="219" w:lineRule="auto"/>
        <w:ind w:firstLine="810" w:firstLineChars="3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9"/>
          <w:w w:val="96"/>
          <w:sz w:val="30"/>
          <w:szCs w:val="30"/>
        </w:rPr>
        <w:t>提前下达202</w:t>
      </w:r>
      <w:r>
        <w:rPr>
          <w:rFonts w:hint="eastAsia" w:ascii="宋体" w:hAnsi="宋体" w:eastAsia="宋体" w:cs="宋体"/>
          <w:spacing w:val="-9"/>
          <w:w w:val="96"/>
          <w:sz w:val="30"/>
          <w:szCs w:val="30"/>
          <w:lang w:val="en-US" w:eastAsia="zh-CN"/>
        </w:rPr>
        <w:t>5</w:t>
      </w:r>
      <w:r>
        <w:rPr>
          <w:rFonts w:ascii="宋体" w:hAnsi="宋体" w:eastAsia="宋体" w:cs="宋体"/>
          <w:spacing w:val="-9"/>
          <w:w w:val="96"/>
          <w:sz w:val="30"/>
          <w:szCs w:val="30"/>
        </w:rPr>
        <w:t>年中央财政衔接推进乡村振兴补助资金分配表</w:t>
      </w:r>
    </w:p>
    <w:p>
      <w:pPr>
        <w:spacing w:before="73" w:line="220" w:lineRule="auto"/>
        <w:ind w:firstLine="9239"/>
        <w:rPr>
          <w:rFonts w:ascii="宋体" w:hAnsi="宋体" w:eastAsia="宋体" w:cs="宋体"/>
          <w:spacing w:val="-6"/>
          <w:sz w:val="12"/>
          <w:szCs w:val="12"/>
        </w:rPr>
      </w:pPr>
    </w:p>
    <w:tbl>
      <w:tblPr>
        <w:tblStyle w:val="11"/>
        <w:tblpPr w:leftFromText="180" w:rightFromText="180" w:vertAnchor="text" w:horzAnchor="page" w:tblpX="1564" w:tblpY="607"/>
        <w:tblOverlap w:val="never"/>
        <w:tblW w:w="895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474"/>
        <w:gridCol w:w="1172"/>
        <w:gridCol w:w="2023"/>
        <w:gridCol w:w="1740"/>
        <w:gridCol w:w="19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5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0" w:lineRule="auto"/>
              <w:jc w:val="center"/>
              <w:rPr>
                <w:rFonts w:ascii="Arial"/>
                <w:sz w:val="18"/>
                <w:szCs w:val="18"/>
              </w:rPr>
            </w:pPr>
          </w:p>
          <w:p>
            <w:pPr>
              <w:spacing w:before="42" w:line="221" w:lineRule="auto"/>
              <w:ind w:firstLine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4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0" w:lineRule="auto"/>
              <w:jc w:val="center"/>
              <w:rPr>
                <w:rFonts w:ascii="Arial"/>
                <w:sz w:val="18"/>
                <w:szCs w:val="18"/>
              </w:rPr>
            </w:pPr>
          </w:p>
          <w:p>
            <w:pPr>
              <w:spacing w:before="42" w:line="219" w:lineRule="auto"/>
              <w:ind w:firstLine="241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县市名称</w:t>
            </w:r>
          </w:p>
        </w:tc>
        <w:tc>
          <w:tcPr>
            <w:tcW w:w="117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4" w:line="191" w:lineRule="exact"/>
              <w:ind w:firstLine="27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4"/>
                <w:sz w:val="18"/>
                <w:szCs w:val="18"/>
              </w:rPr>
              <w:t>提前下达</w:t>
            </w:r>
          </w:p>
          <w:p>
            <w:pPr>
              <w:spacing w:line="219" w:lineRule="auto"/>
              <w:ind w:firstLine="33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总规模</w:t>
            </w:r>
          </w:p>
        </w:tc>
        <w:tc>
          <w:tcPr>
            <w:tcW w:w="20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6" w:line="219" w:lineRule="auto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</w:p>
          <w:p>
            <w:pPr>
              <w:spacing w:before="6" w:line="219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巩固拓展脱贫攻坚成果和乡村振兴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任务</w:t>
            </w:r>
          </w:p>
        </w:tc>
        <w:tc>
          <w:tcPr>
            <w:tcW w:w="174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1" w:lineRule="auto"/>
              <w:jc w:val="center"/>
              <w:rPr>
                <w:rFonts w:ascii="Arial"/>
                <w:sz w:val="18"/>
                <w:szCs w:val="18"/>
              </w:rPr>
            </w:pPr>
          </w:p>
          <w:p>
            <w:pPr>
              <w:spacing w:before="42" w:line="219" w:lineRule="auto"/>
              <w:ind w:firstLine="3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少数民族发展任务</w:t>
            </w:r>
          </w:p>
        </w:tc>
        <w:tc>
          <w:tcPr>
            <w:tcW w:w="1980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42" w:line="219" w:lineRule="auto"/>
              <w:ind w:firstLine="32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7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4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80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以工代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振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任务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4" w:lineRule="auto"/>
              <w:ind w:firstLine="29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firstLine="352" w:firstLineChars="20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尼勒克县</w:t>
            </w:r>
          </w:p>
        </w:tc>
        <w:tc>
          <w:tcPr>
            <w:tcW w:w="11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3" w:lineRule="auto"/>
              <w:ind w:firstLine="404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11263</w:t>
            </w:r>
          </w:p>
        </w:tc>
        <w:tc>
          <w:tcPr>
            <w:tcW w:w="20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3" w:lineRule="auto"/>
              <w:ind w:firstLine="406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9056</w:t>
            </w:r>
          </w:p>
        </w:tc>
        <w:tc>
          <w:tcPr>
            <w:tcW w:w="17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3" w:lineRule="auto"/>
              <w:ind w:firstLine="422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1107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83" w:lineRule="auto"/>
              <w:ind w:firstLine="422"/>
              <w:jc w:val="center"/>
              <w:rPr>
                <w:rFonts w:hint="default" w:ascii="宋体" w:hAnsi="宋体" w:eastAsia="宋体" w:cs="宋体"/>
                <w:spacing w:val="-3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1100</w:t>
            </w:r>
          </w:p>
        </w:tc>
      </w:tr>
    </w:tbl>
    <w:p>
      <w:pPr>
        <w:spacing w:before="73" w:line="220" w:lineRule="auto"/>
        <w:ind w:firstLine="6720" w:firstLineChars="4000"/>
        <w:jc w:val="center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单位∶万元</w:t>
      </w:r>
    </w:p>
    <w:p>
      <w:pPr>
        <w:spacing w:line="29" w:lineRule="exact"/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shd w:val="clear" w:color="auto" w:fill="auto"/>
      <w:bidi w:val="0"/>
      <w:spacing w:before="0" w:after="0" w:line="1" w:lineRule="exact"/>
      <w:ind w:left="0" w:right="0" w:firstLine="0"/>
      <w:jc w:val="left"/>
      <w:rPr>
        <w:rFonts w:ascii="Times New Roman" w:hAnsi="Times New Roman" w:eastAsia="Times New Roman" w:cs="Times New Roman"/>
        <w:color w:val="000000"/>
        <w:spacing w:val="0"/>
        <w:w w:val="100"/>
        <w:kern w:val="0"/>
        <w:position w:val="0"/>
        <w:sz w:val="24"/>
        <w:shd w:val="clear" w:color="auto" w:fill="auto"/>
        <w:lang w:eastAsia="en-US" w:bidi="en-US"/>
      </w:rPr>
    </w:pPr>
    <w:r>
      <w:rPr>
        <w:rFonts w:ascii="Times New Roman" w:hAnsi="Times New Roman" w:eastAsia="Times New Roman" w:cs="Times New Roman"/>
        <w:color w:val="000000"/>
        <w:spacing w:val="0"/>
        <w:w w:val="100"/>
        <w:kern w:val="0"/>
        <w:position w:val="0"/>
        <w:sz w:val="24"/>
        <w:shd w:val="clear" w:color="auto" w:fill="auto"/>
        <w:lang w:eastAsia="en-US" w:bidi="en-US"/>
      </w:rP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3864610</wp:posOffset>
              </wp:positionH>
              <wp:positionV relativeFrom="page">
                <wp:posOffset>9296400</wp:posOffset>
              </wp:positionV>
              <wp:extent cx="67310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u w:val="none"/>
                              <w:shd w:val="clear" w:color="auto" w:fill="auto"/>
                              <w:lang w:val="zh-TW" w:eastAsia="zh-TW" w:bidi="zh-TW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u w:val="none"/>
                              <w:shd w:val="clear" w:color="auto" w:fill="auto"/>
                              <w:lang w:val="zh-TW" w:eastAsia="zh-TW" w:bidi="zh-TW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304.3pt;margin-top:732pt;height:9.6pt;width:5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A695yJ1wAAAA0BAAAPAAAAAAAAAAEAIAAAACIAAABkcnMvZG93bnJl&#10;di54bWxQSwECFAAUAAAACACHTuJAqeszNYwBAAAgAwAADgAAAAAAAAABACAAAAAmAQAAZHJzL2Uy&#10;b0RvYy54bWxQSwUGAAAAAAYABgBZAQAAJ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u w:val="none"/>
                        <w:shd w:val="clear" w:color="auto" w:fill="auto"/>
                        <w:lang w:val="zh-TW" w:eastAsia="zh-TW" w:bidi="zh-TW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u w:val="none"/>
                        <w:shd w:val="clear" w:color="auto" w:fill="auto"/>
                        <w:lang w:val="zh-TW" w:eastAsia="zh-TW" w:bidi="zh-TW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shd w:val="clear" w:color="auto" w:fill="auto"/>
      <w:bidi w:val="0"/>
      <w:spacing w:before="0" w:after="0" w:line="1" w:lineRule="exact"/>
      <w:ind w:left="0" w:right="0" w:firstLine="0"/>
      <w:jc w:val="left"/>
      <w:rPr>
        <w:rFonts w:ascii="Times New Roman" w:hAnsi="Times New Roman" w:eastAsia="Times New Roman" w:cs="Times New Roman"/>
        <w:color w:val="000000"/>
        <w:spacing w:val="0"/>
        <w:w w:val="100"/>
        <w:kern w:val="0"/>
        <w:position w:val="0"/>
        <w:sz w:val="24"/>
        <w:shd w:val="clear" w:color="auto" w:fill="auto"/>
        <w:lang w:eastAsia="en-US" w:bidi="en-US"/>
      </w:rPr>
    </w:pPr>
    <w:r>
      <w:rPr>
        <w:rFonts w:ascii="Times New Roman" w:hAnsi="Times New Roman" w:eastAsia="Times New Roman" w:cs="Times New Roman"/>
        <w:color w:val="000000"/>
        <w:spacing w:val="0"/>
        <w:w w:val="100"/>
        <w:kern w:val="0"/>
        <w:position w:val="0"/>
        <w:sz w:val="24"/>
        <w:shd w:val="clear" w:color="auto" w:fill="auto"/>
        <w:lang w:eastAsia="en-US" w:bidi="en-US"/>
      </w:rP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9044305</wp:posOffset>
              </wp:positionV>
              <wp:extent cx="22225" cy="1123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" cy="1123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u w:val="none"/>
                              <w:shd w:val="clear" w:color="auto" w:fill="auto"/>
                              <w:lang w:val="zh-TW" w:eastAsia="zh-TW" w:bidi="zh-TW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u w:val="none"/>
                              <w:shd w:val="clear" w:color="auto" w:fill="auto"/>
                              <w:lang w:val="zh-TW" w:eastAsia="zh-TW" w:bidi="zh-TW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307.15pt;margin-top:712.15pt;height:8.85pt;width:1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7zqZVdcAAAANAQAADwAAAAAAAAABACAAAAAiAAAAZHJzL2Rvd25y&#10;ZXYueG1sUEsBAhQAFAAAAAgAh07iQPkKHTaNAQAAIAMAAA4AAAAAAAAAAQAgAAAAJg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u w:val="none"/>
                        <w:shd w:val="clear" w:color="auto" w:fill="auto"/>
                        <w:lang w:val="zh-TW" w:eastAsia="zh-TW" w:bidi="zh-TW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u w:val="none"/>
                        <w:shd w:val="clear" w:color="auto" w:fill="auto"/>
                        <w:lang w:val="zh-TW" w:eastAsia="zh-TW" w:bidi="zh-TW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C0C8B"/>
    <w:rsid w:val="03B42A54"/>
    <w:rsid w:val="06214898"/>
    <w:rsid w:val="092A478D"/>
    <w:rsid w:val="0F4E0407"/>
    <w:rsid w:val="137921C3"/>
    <w:rsid w:val="14A04347"/>
    <w:rsid w:val="18834036"/>
    <w:rsid w:val="1DE27DEF"/>
    <w:rsid w:val="25C60263"/>
    <w:rsid w:val="27292E26"/>
    <w:rsid w:val="28F60680"/>
    <w:rsid w:val="2CAC6363"/>
    <w:rsid w:val="30580388"/>
    <w:rsid w:val="333E4621"/>
    <w:rsid w:val="34725B94"/>
    <w:rsid w:val="356012F0"/>
    <w:rsid w:val="382255E3"/>
    <w:rsid w:val="398E1E39"/>
    <w:rsid w:val="3D7E55DA"/>
    <w:rsid w:val="422334EA"/>
    <w:rsid w:val="42C66086"/>
    <w:rsid w:val="49580943"/>
    <w:rsid w:val="50E84C79"/>
    <w:rsid w:val="54697518"/>
    <w:rsid w:val="5AB77961"/>
    <w:rsid w:val="5E007144"/>
    <w:rsid w:val="5F4922F1"/>
    <w:rsid w:val="5F8278F1"/>
    <w:rsid w:val="60501D3B"/>
    <w:rsid w:val="61C14E63"/>
    <w:rsid w:val="653E1C19"/>
    <w:rsid w:val="68A80CF5"/>
    <w:rsid w:val="6E275398"/>
    <w:rsid w:val="727C0C8B"/>
    <w:rsid w:val="73944287"/>
    <w:rsid w:val="774C51C3"/>
    <w:rsid w:val="7A7E4E8C"/>
    <w:rsid w:val="7A97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  <w:spacing w:after="60"/>
      <w:ind w:firstLine="260"/>
    </w:pPr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6">
    <w:name w:val="Heading #3|1"/>
    <w:basedOn w:val="1"/>
    <w:qFormat/>
    <w:uiPriority w:val="0"/>
    <w:pPr>
      <w:widowControl w:val="0"/>
      <w:shd w:val="clear" w:color="auto" w:fill="auto"/>
      <w:spacing w:after="110"/>
      <w:outlineLvl w:val="2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0"/>
      <w:szCs w:val="1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ing #2|1"/>
    <w:basedOn w:val="1"/>
    <w:qFormat/>
    <w:uiPriority w:val="0"/>
    <w:pPr>
      <w:widowControl w:val="0"/>
      <w:shd w:val="clear" w:color="auto" w:fill="auto"/>
      <w:spacing w:after="520" w:line="634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table" w:customStyle="1" w:styleId="11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2020-07-15T05:23:00Z</dcterms:created>
  <dc:creator>Rinat</dc:creator>
  <cp:lastModifiedBy>nlk-nync-05</cp:lastModifiedBy>
  <dcterms:modified xsi:type="dcterms:W3CDTF">2025-02-20T03:15:54Z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