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  <w:outlineLvl w:val="0"/>
        <w:rPr>
          <w:rFonts w:hint="eastAsia" w:ascii="宋体" w:hAnsi="宋体" w:eastAsia="宋体" w:cs="宋体"/>
          <w:color w:val="F16249"/>
          <w:spacing w:val="0"/>
          <w:w w:val="100"/>
          <w:position w:val="0"/>
          <w:sz w:val="100"/>
          <w:szCs w:val="100"/>
          <w:u w:val="none"/>
          <w:shd w:val="clear" w:color="auto" w:fill="auto"/>
          <w:lang w:val="zh-TW" w:eastAsia="zh-CN" w:bidi="zh-TW"/>
        </w:rPr>
      </w:pPr>
      <w:bookmarkStart w:id="0" w:name="bookmark2"/>
      <w:bookmarkStart w:id="1" w:name="bookmark0"/>
      <w:bookmarkStart w:id="2" w:name="bookmark1"/>
    </w:p>
    <w:p>
      <w:pPr>
        <w:keepNext w:val="0"/>
        <w:keepLines w:val="0"/>
        <w:shd w:val="clear" w:color="auto" w:fill="auto"/>
        <w:bidi w:val="0"/>
        <w:spacing w:before="0" w:after="0" w:line="1400" w:lineRule="exact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方正小标宋简体" w:hAnsi="Times New Roman" w:eastAsia="方正小标宋简体" w:cs="Times New Roman"/>
          <w:b/>
          <w:color w:val="FF0000"/>
          <w:spacing w:val="0"/>
          <w:w w:val="70"/>
          <w:kern w:val="2"/>
          <w:position w:val="0"/>
          <w:sz w:val="124"/>
          <w:szCs w:val="100"/>
          <w:shd w:val="clear" w:color="auto" w:fill="auto"/>
          <w:lang w:eastAsia="zh-CN" w:bidi="ar-SA"/>
        </w:rPr>
        <w:t>尼勒克县财政局文件</w:t>
      </w:r>
      <w:bookmarkEnd w:id="0"/>
      <w:bookmarkEnd w:id="1"/>
      <w:bookmarkEnd w:id="2"/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zh-CN" w:bidi="en-US"/>
        </w:rPr>
        <w:t>尼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财农〔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2024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〕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34</w:t>
      </w:r>
      <w:bookmarkStart w:id="3" w:name="_GoBack"/>
      <w:bookmarkEnd w:id="3"/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号</w:t>
      </w: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eastAsia" w:ascii="方正小标宋简体" w:hAnsi="Times New Roman" w:eastAsia="方正小标宋简体" w:cs="Times New Roman"/>
          <w:color w:val="FF0000"/>
          <w:spacing w:val="0"/>
          <w:w w:val="100"/>
          <w:kern w:val="2"/>
          <w:position w:val="0"/>
          <w:sz w:val="44"/>
          <w:szCs w:val="44"/>
          <w:shd w:val="clear" w:color="auto" w:fill="auto"/>
          <w:lang w:eastAsia="zh-CN" w:bidi="ar-SA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44"/>
          <w:szCs w:val="18"/>
          <w:shd w:val="clear" w:color="auto" w:fill="auto"/>
          <w:lang w:eastAsia="en-US" w:bidi="en-US"/>
        </w:rPr>
        <mc:AlternateContent>
          <mc:Choice Requires="wps">
            <w:drawing>
              <wp:anchor distT="0" distB="0" distL="114300" distR="114300" simplePos="0" relativeHeight="12583116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-31750</wp:posOffset>
                </wp:positionV>
                <wp:extent cx="5810250" cy="0"/>
                <wp:effectExtent l="33655" t="29845" r="42545" b="844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48080" y="4656455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pt;margin-top:-2.5pt;height:0pt;width:457.5pt;z-index:125831168;mso-width-relative:page;mso-height-relative:page;" filled="f" stroked="t" coordsize="21600,21600" o:gfxdata="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pK6y1gAAAAgBAAAPAAAAAAAAAAEAIAAAACIAAABkcnMvZG93bnJldi54bWxQSwECFAAUAAAA&#10;CACHTuJAfCNyQykCAAAmBAAADgAAAAAAAAABACAAAAAlAQAAZHJzL2Uyb0RvYy54bWxQSwUGAAAA&#10;AAYABgBZAQAAwAUAAAAA&#10;">
                <v:fill on="f" focussize="0,0"/>
                <v:stroke weight="3pt" color="#FF0000 [3205]" miterlimit="8" joinstyle="miter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关于下达2024年自治区财政衔接推进乡村振兴补助资金 (巩固拓展脱贫攻坚成果和乡村振兴任务)预算的通知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尼勒克县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农业农村</w:t>
      </w:r>
      <w:r>
        <w:rPr>
          <w:rFonts w:hint="eastAsia" w:ascii="仿宋" w:hAnsi="仿宋" w:eastAsia="仿宋" w:cs="仿宋"/>
          <w:sz w:val="28"/>
          <w:szCs w:val="28"/>
        </w:rPr>
        <w:t>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根据《关于下达2024年自治区财政衔接推进乡村振兴补助资金(巩固拓展脱贫攻坚成果和乡村振兴任务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预算的通知》(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伊州财农【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2024】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</w:t>
      </w:r>
      <w:r>
        <w:rPr>
          <w:rFonts w:hint="eastAsia" w:ascii="仿宋" w:hAnsi="仿宋" w:eastAsia="仿宋" w:cs="仿宋"/>
          <w:sz w:val="28"/>
          <w:szCs w:val="28"/>
        </w:rPr>
        <w:t>号)(以下简称"衔接资金")文件要求，现下达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县2024年自治区衔接资金预算指标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441</w:t>
      </w:r>
      <w:r>
        <w:rPr>
          <w:rFonts w:hint="eastAsia" w:ascii="仿宋" w:hAnsi="仿宋" w:eastAsia="仿宋" w:cs="仿宋"/>
          <w:sz w:val="28"/>
          <w:szCs w:val="28"/>
        </w:rPr>
        <w:t>万元。该项指标列2024年"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100231巩固脱贫攻坚成果衔接乡村振兴转移支付收入"、"21305农林水一巩固脱贫攻坚成果衔接乡村振兴"科目，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你单位</w:t>
      </w:r>
      <w:r>
        <w:rPr>
          <w:rFonts w:hint="eastAsia" w:ascii="仿宋" w:hAnsi="仿宋" w:eastAsia="仿宋" w:cs="仿宋"/>
          <w:sz w:val="28"/>
          <w:szCs w:val="28"/>
        </w:rPr>
        <w:t>按实际支出方向将支出功能科目明确至相应项级。具体要求如下: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一、加强资金使用管理。</w:t>
      </w:r>
      <w:r>
        <w:rPr>
          <w:rFonts w:hint="eastAsia" w:ascii="仿宋" w:hAnsi="仿宋" w:eastAsia="仿宋" w:cs="仿宋"/>
          <w:sz w:val="28"/>
          <w:szCs w:val="28"/>
        </w:rPr>
        <w:t>以资金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</w:t>
      </w:r>
      <w:r>
        <w:rPr>
          <w:rFonts w:hint="eastAsia" w:ascii="仿宋" w:hAnsi="仿宋" w:eastAsia="仿宋" w:cs="仿宋"/>
          <w:sz w:val="28"/>
          <w:szCs w:val="28"/>
        </w:rPr>
        <w:t>件时间为准，需在5日内将预算指标下达，并于每月报送资金文出使用管理情况，严格按照资金管理办法和指导意见规定的用途使用资金，严禁资金用于负面清单及与巩固衔接工作无关的事项，严禁发生挤占挪用、贪污侵占、虚报冒领、滞留闲置资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二、突出资金支持重点。</w:t>
      </w:r>
      <w:r>
        <w:rPr>
          <w:rFonts w:hint="eastAsia" w:ascii="仿宋" w:hAnsi="仿宋" w:eastAsia="仿宋" w:cs="仿宋"/>
          <w:sz w:val="28"/>
          <w:szCs w:val="28"/>
        </w:rPr>
        <w:t>强化重点政策和重点工作落实，认真对标对表中央一号文件和自治区党委、自治州党委一号文件要求，持续加强产业和就业帮扶，督促相关部门加强项目谋划等前期工作，突出资金文持重点，紧扣自治区粮棉果畜涉农产业集群发展，坚持把联农带农惠农作为项目安排的前置条件，确保项目安排和脱贫人口持续持续稳定增收、与欠发达地区经济高质量发展密切关联，进一步巩固拓展脱贫攻坚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三、规范补贴资金发放。</w:t>
      </w:r>
      <w:r>
        <w:rPr>
          <w:rFonts w:hint="eastAsia" w:ascii="仿宋" w:hAnsi="仿宋" w:eastAsia="仿宋" w:cs="仿宋"/>
          <w:sz w:val="28"/>
          <w:szCs w:val="28"/>
        </w:rPr>
        <w:t>按照《关于进一步加强惠民惠农财政补贴资金"一卡通"管理的实施方案》(新财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2021】</w:t>
      </w:r>
      <w:r>
        <w:rPr>
          <w:rFonts w:hint="eastAsia" w:ascii="仿宋" w:hAnsi="仿宋" w:eastAsia="仿宋" w:cs="仿宋"/>
          <w:sz w:val="28"/>
          <w:szCs w:val="28"/>
        </w:rPr>
        <w:t>21号)，在实施衔接资金到人到户项目时，严格落实"所有直接兑付到人到户的惠民惠农财政补贴资金原则上均实现。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‘</w:t>
      </w:r>
      <w:r>
        <w:rPr>
          <w:rFonts w:hint="eastAsia" w:ascii="仿宋" w:hAnsi="仿宋" w:eastAsia="仿宋" w:cs="仿宋"/>
          <w:sz w:val="28"/>
          <w:szCs w:val="28"/>
        </w:rPr>
        <w:t>一卡通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’</w:t>
      </w:r>
      <w:r>
        <w:rPr>
          <w:rFonts w:hint="eastAsia" w:ascii="仿宋" w:hAnsi="仿宋" w:eastAsia="仿宋" w:cs="仿宋"/>
          <w:sz w:val="28"/>
          <w:szCs w:val="28"/>
        </w:rPr>
        <w:t>方式发放"要求，严禁资金拨付至实有资金账户或其他代发账户，确保资金安全使用，坚决避免套取骗取、截留挪用、侵占贪污惠民惠农补贴资金等重大违规违纪行为。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四、强化项目绩效管理。</w:t>
      </w:r>
      <w:r>
        <w:rPr>
          <w:rFonts w:hint="eastAsia" w:ascii="仿宋" w:hAnsi="仿宋" w:eastAsia="仿宋" w:cs="仿宋"/>
          <w:sz w:val="28"/>
          <w:szCs w:val="28"/>
        </w:rPr>
        <w:t>健全资金项目全过程绩效管理机制， 严格绩效目标管理，将项目资产确权、联农带农、持续发挥效益情况纳入绩效目标，强化目标论证审查，确保设置科学合理。做好绩效目标运行监控，发现问题及时分析研判和纠偏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，扎</w:t>
      </w:r>
      <w:r>
        <w:rPr>
          <w:rFonts w:hint="eastAsia" w:ascii="仿宋" w:hAnsi="仿宋" w:eastAsia="仿宋" w:cs="仿宋"/>
          <w:sz w:val="28"/>
          <w:szCs w:val="28"/>
        </w:rPr>
        <w:t>实开展绩效评价，突出资金使用成效，确保项目资产权属清晰、运营高效、管护到位、联农带农紧密、效益充分发挥。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五、落实直达资金管理要求。</w:t>
      </w:r>
      <w:r>
        <w:rPr>
          <w:rFonts w:hint="eastAsia" w:ascii="仿宋" w:hAnsi="仿宋" w:eastAsia="仿宋" w:cs="仿宋"/>
          <w:sz w:val="28"/>
          <w:szCs w:val="28"/>
        </w:rPr>
        <w:t>按照《关于进一步做好2024年财政资金直达工作的通知》(新财预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sz w:val="28"/>
          <w:szCs w:val="28"/>
        </w:rPr>
        <w:t>21号)要求，做好直达资金记账对账、信息公开、监控平台录入等基础工作，需在指标下达2日内在平台登录指标，准确标注直达资金标识 (01自治区直达资金)，需在30日内将资金细化到具体项目并录入平台，项目名称准确录入后，不得随意变更。要密切跟踪资金预算执行情况，及时关联支付数据，确保监控平台中资金分配下达进度与预算一体化系统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六、做好公告公示工作。</w:t>
      </w:r>
      <w:r>
        <w:rPr>
          <w:rFonts w:hint="eastAsia" w:ascii="仿宋" w:hAnsi="仿宋" w:eastAsia="仿宋" w:cs="仿宋"/>
          <w:sz w:val="28"/>
          <w:szCs w:val="28"/>
        </w:rPr>
        <w:t>严格落实资金项目公告公示制度，对资金年度使用计划、支持项目、建设内容、补助标准、资金来源及额度竿信息必须按规定的程序进行公告、公示，主动接受群众和社会监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附件:1·2024年自治区财政衔接推进乡村振兴补助资金分配表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righ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4811395</wp:posOffset>
            </wp:positionH>
            <wp:positionV relativeFrom="paragraph">
              <wp:posOffset>395605</wp:posOffset>
            </wp:positionV>
            <wp:extent cx="1898650" cy="1711960"/>
            <wp:effectExtent l="0" t="0" r="6350" b="2540"/>
            <wp:wrapNone/>
            <wp:docPr id="4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righ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righ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尼勒克县财政局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righ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2024年8月9日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附件：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2024年自治区财政衔接推进乡村振兴补助资金分配表</w:t>
      </w:r>
    </w:p>
    <w:tbl>
      <w:tblPr>
        <w:tblStyle w:val="3"/>
        <w:tblW w:w="830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2250"/>
        <w:gridCol w:w="2505"/>
        <w:gridCol w:w="1380"/>
        <w:gridCol w:w="145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尼勒克县2024年推动产业帮扶精准到户项目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尼勒克县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60"/>
      <w:ind w:firstLine="260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2024-09-23T09:26:23Z</dcterms:created>
  <dc:creator>Administrator</dc:creator>
  <cp:lastModifiedBy>Administrator</cp:lastModifiedBy>
  <dcterms:modified xsi:type="dcterms:W3CDTF">2024-09-23T09:41:49Z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