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尼勒克县烟草制品零售点</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4"/>
          <w:szCs w:val="44"/>
          <w:lang w:val="en-US" w:eastAsia="zh-CN"/>
        </w:rPr>
        <w:t>排队轮候管理办法</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u w:val="none"/>
          <w:lang w:val="en-US" w:eastAsia="zh-CN"/>
        </w:rPr>
      </w:pPr>
    </w:p>
    <w:p>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b/>
          <w:bCs/>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第一章 总则</w:t>
      </w:r>
      <w:r>
        <w:rPr>
          <w:rFonts w:hint="default" w:ascii="方正小标宋简体" w:hAnsi="方正小标宋简体" w:eastAsia="方正小标宋简体" w:cs="方正小标宋简体"/>
          <w:color w:val="auto"/>
          <w:kern w:val="0"/>
          <w:sz w:val="43"/>
          <w:szCs w:val="43"/>
          <w:u w:val="none"/>
          <w:lang w:val="en-US" w:eastAsia="zh-CN" w:bidi="ar"/>
        </w:rPr>
        <w:t>​</w:t>
      </w:r>
    </w:p>
    <w:p>
      <w:pPr>
        <w:numPr>
          <w:ilvl w:val="0"/>
          <w:numId w:val="0"/>
        </w:numPr>
        <w:spacing w:line="360" w:lineRule="auto"/>
        <w:ind w:firstLine="642" w:firstLineChars="200"/>
        <w:rPr>
          <w:rFonts w:hint="eastAsia" w:ascii="仿宋_GB2312" w:hAnsi="Times New Roman" w:eastAsia="仿宋_GB2312" w:cs="Times New Roman"/>
          <w:color w:val="auto"/>
          <w:kern w:val="2"/>
          <w:sz w:val="32"/>
          <w:szCs w:val="32"/>
          <w:lang w:val="en-US" w:eastAsia="zh-CN" w:bidi="ar-SA"/>
        </w:rPr>
      </w:pPr>
      <w:r>
        <w:rPr>
          <w:rFonts w:hint="eastAsia" w:ascii="楷体_GB2312" w:hAnsi="楷体_GB2312" w:eastAsia="楷体_GB2312" w:cs="楷体_GB2312"/>
          <w:b/>
          <w:bCs/>
          <w:color w:val="auto"/>
          <w:sz w:val="32"/>
          <w:szCs w:val="32"/>
          <w:u w:val="none"/>
          <w:lang w:val="en-US" w:eastAsia="zh-CN"/>
        </w:rPr>
        <w:t>第一条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为全方位提升烟草零售许可事项办理的法治化、标准化、规范化、便利化水平，</w:t>
      </w:r>
      <w:r>
        <w:rPr>
          <w:rFonts w:hint="eastAsia" w:ascii="仿宋_GB2312" w:hAnsi="仿宋_GB2312" w:eastAsia="仿宋_GB2312" w:cs="仿宋_GB2312"/>
          <w:color w:val="auto"/>
          <w:sz w:val="32"/>
          <w:szCs w:val="32"/>
          <w:u w:val="none"/>
          <w:lang w:val="en-US" w:eastAsia="zh-CN"/>
        </w:rPr>
        <w:t>确</w:t>
      </w:r>
      <w:r>
        <w:rPr>
          <w:rFonts w:hint="eastAsia" w:ascii="仿宋_GB2312" w:eastAsia="仿宋_GB2312" w:cs="Times New Roman"/>
          <w:color w:val="auto"/>
          <w:kern w:val="2"/>
          <w:sz w:val="32"/>
          <w:szCs w:val="32"/>
          <w:lang w:val="en-US" w:eastAsia="zh-CN" w:bidi="ar-SA"/>
        </w:rPr>
        <w:t>保市场主体权利平等、机会平等、规则平等，</w:t>
      </w:r>
      <w:r>
        <w:rPr>
          <w:rFonts w:hint="eastAsia" w:ascii="仿宋_GB2312" w:hAnsi="仿宋_GB2312" w:eastAsia="仿宋_GB2312" w:cs="仿宋_GB2312"/>
          <w:color w:val="auto"/>
          <w:sz w:val="32"/>
          <w:szCs w:val="32"/>
        </w:rPr>
        <w:t>根据《中华人民共和国行政许可法》《中华人民共和国未成年人保护法》《中华人民共和国烟草专卖法》《中华人民共和国烟草专卖法实施条例》《烟草专卖许可证管理办法》《烟草专卖许可证管理办法实施细则》等法律法规、规章</w:t>
      </w:r>
      <w:r>
        <w:rPr>
          <w:rFonts w:hint="eastAsia" w:ascii="仿宋_GB2312" w:hAnsi="仿宋_GB2312" w:eastAsia="仿宋_GB2312" w:cs="仿宋_GB2312"/>
          <w:color w:val="auto"/>
          <w:sz w:val="32"/>
          <w:szCs w:val="32"/>
          <w:lang w:eastAsia="zh-CN"/>
        </w:rPr>
        <w:t>和规范性文件</w:t>
      </w:r>
      <w:r>
        <w:rPr>
          <w:rFonts w:hint="eastAsia" w:ascii="仿宋_GB2312" w:hAnsi="仿宋_GB2312" w:eastAsia="仿宋_GB2312" w:cs="仿宋_GB2312"/>
          <w:color w:val="auto"/>
          <w:sz w:val="32"/>
          <w:szCs w:val="32"/>
        </w:rPr>
        <w:t>，</w:t>
      </w:r>
      <w:r>
        <w:rPr>
          <w:rFonts w:hint="eastAsia" w:ascii="仿宋_GB2312" w:hAnsi="Times New Roman" w:eastAsia="仿宋_GB2312" w:cs="Times New Roman"/>
          <w:color w:val="auto"/>
          <w:kern w:val="2"/>
          <w:sz w:val="32"/>
          <w:szCs w:val="32"/>
          <w:lang w:val="en-US" w:eastAsia="zh-CN" w:bidi="ar-SA"/>
        </w:rPr>
        <w:t>结合</w:t>
      </w:r>
      <w:r>
        <w:rPr>
          <w:rFonts w:hint="eastAsia" w:ascii="仿宋_GB2312" w:hAnsi="Times New Roman" w:eastAsia="仿宋_GB2312" w:cs="Times New Roman"/>
          <w:color w:val="auto"/>
          <w:kern w:val="2"/>
          <w:sz w:val="32"/>
          <w:szCs w:val="32"/>
          <w:highlight w:val="none"/>
          <w:lang w:val="en-US" w:eastAsia="zh-CN" w:bidi="ar-SA"/>
        </w:rPr>
        <w:t>尼勒克县辖区</w:t>
      </w:r>
      <w:r>
        <w:rPr>
          <w:rFonts w:hint="eastAsia" w:ascii="仿宋_GB2312" w:hAnsi="Times New Roman" w:eastAsia="仿宋_GB2312" w:cs="Times New Roman"/>
          <w:color w:val="auto"/>
          <w:kern w:val="2"/>
          <w:sz w:val="32"/>
          <w:szCs w:val="32"/>
          <w:lang w:val="en-US" w:eastAsia="zh-CN" w:bidi="ar-SA"/>
        </w:rPr>
        <w:t>实际，制定本办法。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第二条</w:t>
      </w:r>
      <w:r>
        <w:rPr>
          <w:rFonts w:hint="eastAsia" w:ascii="仿宋_GB2312" w:hAnsi="仿宋_GB2312" w:eastAsia="仿宋_GB2312" w:cs="仿宋_GB2312"/>
          <w:color w:val="auto"/>
          <w:sz w:val="32"/>
          <w:szCs w:val="32"/>
          <w:u w:val="none"/>
          <w:lang w:val="en-US" w:eastAsia="zh-CN"/>
        </w:rPr>
        <w:t xml:space="preserve"> 尼勒克县烟草专卖局是烟草专卖零售许可证的合法发证机关（以下简称发证机关），依法负责全县烟草专卖零售许可证的受理、审批、发放工作，确保合法合规。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第三条</w:t>
      </w:r>
      <w:r>
        <w:rPr>
          <w:rFonts w:hint="eastAsia" w:ascii="仿宋_GB2312" w:hAnsi="仿宋_GB2312" w:eastAsia="仿宋_GB2312" w:cs="仿宋_GB2312"/>
          <w:color w:val="auto"/>
          <w:sz w:val="32"/>
          <w:szCs w:val="32"/>
          <w:u w:val="none"/>
          <w:lang w:val="en-US" w:eastAsia="zh-CN"/>
        </w:rPr>
        <w:t xml:space="preserve"> 本办法中的“市场单元”、“容量”、“限制性条款”等定义沿用《尼勒克县烟草制品零售点合理布局规划》相关内容。</w:t>
      </w:r>
    </w:p>
    <w:p>
      <w:pPr>
        <w:numPr>
          <w:ilvl w:val="0"/>
          <w:numId w:val="0"/>
        </w:numPr>
        <w:spacing w:line="360" w:lineRule="auto"/>
        <w:ind w:firstLine="642" w:firstLineChars="200"/>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第四条</w:t>
      </w:r>
      <w:r>
        <w:rPr>
          <w:rFonts w:hint="eastAsia" w:ascii="仿宋_GB2312" w:hAnsi="Times New Roman" w:eastAsia="仿宋_GB2312" w:cs="Times New Roman"/>
          <w:color w:val="auto"/>
          <w:kern w:val="2"/>
          <w:sz w:val="32"/>
          <w:szCs w:val="32"/>
          <w:lang w:val="en-US" w:eastAsia="zh-CN" w:bidi="ar-SA"/>
        </w:rPr>
        <w:t xml:space="preserve"> </w:t>
      </w:r>
      <w:r>
        <w:rPr>
          <w:rFonts w:hint="eastAsia" w:ascii="仿宋_GB2312" w:hAnsi="仿宋_GB2312" w:eastAsia="仿宋_GB2312" w:cs="仿宋_GB2312"/>
          <w:color w:val="auto"/>
          <w:sz w:val="32"/>
          <w:szCs w:val="32"/>
          <w:u w:val="none"/>
          <w:lang w:val="en-US" w:eastAsia="zh-CN"/>
        </w:rPr>
        <w:t>本办法适用于尼勒克县烟草专卖局（以下简称“发证机关”）在办理烟草专卖零售许可证过程中的排队轮候管理。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2" w:firstLineChars="200"/>
        <w:jc w:val="left"/>
        <w:textAlignment w:val="auto"/>
        <w:rPr>
          <w:rFonts w:hint="eastAsia" w:ascii="黑体" w:hAnsi="黑体" w:eastAsia="黑体" w:cs="黑体"/>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第五条</w:t>
      </w:r>
      <w:r>
        <w:rPr>
          <w:rFonts w:hint="eastAsia" w:ascii="仿宋_GB2312" w:hAnsi="Times New Roman" w:eastAsia="仿宋_GB2312" w:cs="Times New Roman"/>
          <w:color w:val="auto"/>
          <w:kern w:val="2"/>
          <w:sz w:val="32"/>
          <w:szCs w:val="32"/>
          <w:lang w:val="en-US" w:eastAsia="zh-CN" w:bidi="ar-SA"/>
        </w:rPr>
        <w:t xml:space="preserve"> </w:t>
      </w:r>
      <w:r>
        <w:rPr>
          <w:rFonts w:hint="eastAsia" w:ascii="仿宋_GB2312" w:hAnsi="仿宋_GB2312" w:eastAsia="仿宋_GB2312" w:cs="仿宋_GB2312"/>
          <w:color w:val="auto"/>
          <w:sz w:val="32"/>
          <w:szCs w:val="32"/>
          <w:u w:val="none"/>
          <w:lang w:val="en-US" w:eastAsia="zh-CN"/>
        </w:rPr>
        <w:t>排队轮候坚持公开透明、公平公正原则；因经营场所所在市场单元网格烟草制品零售点数量达到规划数量上限，被发证机关作出不予许可决定后，可以申请轮候，开始适用本办法。</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hAnsi="Times New Roman" w:eastAsia="仿宋_GB2312" w:cs="Times New Roman"/>
          <w:b/>
          <w:bCs/>
          <w:color w:val="auto"/>
          <w:kern w:val="2"/>
          <w:sz w:val="32"/>
          <w:szCs w:val="32"/>
          <w:lang w:val="en-US" w:eastAsia="zh-CN" w:bidi="ar-SA"/>
        </w:rPr>
      </w:pPr>
      <w:r>
        <w:rPr>
          <w:rFonts w:hint="eastAsia" w:ascii="黑体" w:hAnsi="黑体" w:eastAsia="黑体" w:cs="黑体"/>
          <w:b w:val="0"/>
          <w:bCs w:val="0"/>
          <w:color w:val="auto"/>
          <w:sz w:val="32"/>
          <w:szCs w:val="32"/>
          <w:u w:val="none"/>
          <w:lang w:val="en-US" w:eastAsia="zh-CN"/>
        </w:rPr>
        <w:t>第二章 轮候规则</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eastAsia="仿宋_GB2312" w:cs="Times New Roman"/>
          <w:color w:val="auto"/>
          <w:kern w:val="2"/>
          <w:sz w:val="32"/>
          <w:szCs w:val="32"/>
          <w:lang w:val="en-US" w:eastAsia="zh-CN" w:bidi="ar-SA"/>
        </w:rPr>
      </w:pPr>
      <w:r>
        <w:rPr>
          <w:rFonts w:hint="eastAsia" w:ascii="楷体_GB2312" w:hAnsi="楷体_GB2312" w:eastAsia="楷体_GB2312" w:cs="楷体_GB2312"/>
          <w:b/>
          <w:bCs/>
          <w:color w:val="auto"/>
          <w:sz w:val="32"/>
          <w:szCs w:val="32"/>
          <w:u w:val="none"/>
          <w:lang w:val="en-US" w:eastAsia="zh-CN"/>
        </w:rPr>
        <w:t xml:space="preserve">第六条 </w:t>
      </w:r>
      <w:r>
        <w:rPr>
          <w:rFonts w:hint="eastAsia" w:ascii="仿宋_GB2312" w:eastAsia="仿宋_GB2312" w:cs="Times New Roman"/>
          <w:color w:val="auto"/>
          <w:kern w:val="2"/>
          <w:sz w:val="32"/>
          <w:szCs w:val="32"/>
          <w:lang w:val="en-US" w:eastAsia="zh-CN" w:bidi="ar-SA"/>
        </w:rPr>
        <w:t>排队轮候遵循“先申请、先受理、先办理”的原则，申请人的轮候顺序以</w:t>
      </w:r>
      <w:r>
        <w:rPr>
          <w:rFonts w:hint="eastAsia" w:ascii="仿宋_GB2312" w:eastAsia="仿宋_GB2312" w:cs="Times New Roman" w:hAnsiTheme="minorHAnsi"/>
          <w:color w:val="auto"/>
          <w:sz w:val="32"/>
          <w:szCs w:val="32"/>
          <w:lang w:val="en-US" w:eastAsia="zh-CN"/>
        </w:rPr>
        <w:t>全国统一专卖监管平台</w:t>
      </w:r>
      <w:r>
        <w:rPr>
          <w:rFonts w:hint="eastAsia" w:ascii="仿宋_GB2312" w:eastAsia="仿宋_GB2312" w:cs="Times New Roman" w:hAnsiTheme="minorHAnsi"/>
          <w:color w:val="auto"/>
          <w:sz w:val="32"/>
          <w:szCs w:val="32"/>
          <w:highlight w:val="none"/>
          <w:lang w:val="en-US" w:eastAsia="zh-CN"/>
        </w:rPr>
        <w:t>（省级端）</w:t>
      </w:r>
      <w:r>
        <w:rPr>
          <w:rFonts w:hint="eastAsia" w:ascii="仿宋_GB2312" w:eastAsia="仿宋_GB2312" w:cs="Times New Roman"/>
          <w:color w:val="auto"/>
          <w:kern w:val="2"/>
          <w:sz w:val="32"/>
          <w:szCs w:val="32"/>
          <w:lang w:val="en-US" w:eastAsia="zh-CN" w:bidi="ar-SA"/>
        </w:rPr>
        <w:t>显示的申请日期为准，具体时间明确到时分秒。轮候期间，同一申请人在同一经营场所多次提出轮候申请的，以第一次轮候顺序为准。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eastAsia="仿宋_GB2312" w:cs="Times New Roman"/>
          <w:color w:val="auto"/>
          <w:kern w:val="2"/>
          <w:sz w:val="32"/>
          <w:szCs w:val="32"/>
          <w:lang w:val="en-US" w:eastAsia="zh-CN" w:bidi="ar-SA"/>
        </w:rPr>
      </w:pPr>
      <w:r>
        <w:rPr>
          <w:rFonts w:hint="eastAsia" w:ascii="仿宋_GB2312" w:eastAsia="仿宋_GB2312" w:cs="Times New Roman" w:hAnsiTheme="minorHAnsi"/>
          <w:color w:val="auto"/>
          <w:sz w:val="32"/>
          <w:szCs w:val="32"/>
          <w:highlight w:val="none"/>
          <w:lang w:val="en-US" w:eastAsia="zh-CN"/>
        </w:rPr>
        <w:t>新建小区，</w:t>
      </w:r>
      <w:r>
        <w:rPr>
          <w:rFonts w:hint="eastAsia" w:ascii="仿宋_GB2312" w:eastAsia="仿宋_GB2312" w:cs="Times New Roman"/>
          <w:color w:val="auto"/>
          <w:sz w:val="32"/>
          <w:szCs w:val="32"/>
          <w:lang w:val="en-US" w:eastAsia="zh-CN"/>
        </w:rPr>
        <w:t>新建</w:t>
      </w:r>
      <w:r>
        <w:rPr>
          <w:rFonts w:hint="eastAsia" w:ascii="仿宋_GB2312" w:eastAsia="仿宋_GB2312" w:cs="Times New Roman" w:hAnsiTheme="minorHAnsi"/>
          <w:color w:val="auto"/>
          <w:sz w:val="32"/>
          <w:szCs w:val="32"/>
          <w:highlight w:val="none"/>
          <w:lang w:val="en-US" w:eastAsia="zh-CN"/>
        </w:rPr>
        <w:t>火车站、客运站</w:t>
      </w:r>
      <w:r>
        <w:rPr>
          <w:rFonts w:hint="eastAsia" w:ascii="仿宋_GB2312" w:eastAsia="仿宋_GB2312" w:cs="Times New Roman"/>
          <w:color w:val="auto"/>
          <w:sz w:val="32"/>
          <w:szCs w:val="32"/>
          <w:lang w:val="en-US" w:eastAsia="zh-CN"/>
        </w:rPr>
        <w:t>、商业体</w:t>
      </w:r>
      <w:r>
        <w:rPr>
          <w:rFonts w:hint="eastAsia" w:ascii="仿宋_GB2312" w:eastAsia="仿宋_GB2312" w:cs="Times New Roman" w:hAnsiTheme="minorHAnsi"/>
          <w:color w:val="auto"/>
          <w:sz w:val="32"/>
          <w:szCs w:val="32"/>
          <w:highlight w:val="none"/>
          <w:lang w:val="en-US" w:eastAsia="zh-CN"/>
        </w:rPr>
        <w:t>等特殊区域：采用新增网格的方式填补市场空缺，待新增网格持证户数量达到饱和状态后，</w:t>
      </w:r>
      <w:r>
        <w:rPr>
          <w:rFonts w:hint="eastAsia" w:ascii="仿宋_GB2312" w:eastAsia="仿宋_GB2312" w:cs="Times New Roman"/>
          <w:color w:val="auto"/>
          <w:sz w:val="32"/>
          <w:szCs w:val="32"/>
          <w:lang w:val="en-US" w:eastAsia="zh-CN"/>
        </w:rPr>
        <w:t>排队人员纳入主网格进行排队</w:t>
      </w:r>
      <w:r>
        <w:rPr>
          <w:rFonts w:hint="eastAsia" w:ascii="仿宋_GB2312" w:eastAsia="仿宋_GB2312" w:cs="Times New Roman" w:hAnsiTheme="minorHAnsi"/>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eastAsia="仿宋_GB2312" w:cs="Times New Roman"/>
          <w:color w:val="auto"/>
          <w:kern w:val="2"/>
          <w:sz w:val="32"/>
          <w:szCs w:val="32"/>
          <w:lang w:val="en-US" w:eastAsia="zh-CN" w:bidi="ar-SA"/>
        </w:rPr>
      </w:pPr>
      <w:r>
        <w:rPr>
          <w:rFonts w:hint="eastAsia" w:ascii="仿宋_GB2312" w:eastAsia="仿宋_GB2312" w:cs="Times New Roman"/>
          <w:color w:val="auto"/>
          <w:kern w:val="2"/>
          <w:sz w:val="32"/>
          <w:szCs w:val="32"/>
          <w:lang w:val="en-US" w:eastAsia="zh-CN" w:bidi="ar-SA"/>
        </w:rPr>
        <w:t>轮候期间，申请人登记的企业名称、个体工商户名称、法定代表人或负责人姓名、经营地址等事项应与实际经营情况相一致。申请人不得调换、转让轮候顺序。</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 xml:space="preserve">第七条 </w:t>
      </w:r>
      <w:r>
        <w:rPr>
          <w:rFonts w:hint="eastAsia" w:ascii="仿宋_GB2312" w:eastAsia="仿宋_GB2312" w:cs="Times New Roman"/>
          <w:color w:val="auto"/>
          <w:sz w:val="32"/>
          <w:szCs w:val="32"/>
        </w:rPr>
        <w:t>申请人所在市场单元内零售点数量已达到容量上限、符合“间距”要求的，纳入轮候管理。</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第八条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b w:val="0"/>
          <w:bCs w:val="0"/>
          <w:color w:val="auto"/>
          <w:sz w:val="32"/>
          <w:szCs w:val="32"/>
          <w:u w:val="none"/>
          <w:lang w:val="en-US" w:eastAsia="zh-CN"/>
        </w:rPr>
        <w:t>申请人</w:t>
      </w:r>
      <w:r>
        <w:rPr>
          <w:rFonts w:hint="eastAsia" w:ascii="仿宋_GB2312" w:hAnsi="仿宋_GB2312" w:eastAsia="仿宋_GB2312" w:cs="仿宋_GB2312"/>
          <w:color w:val="auto"/>
          <w:sz w:val="32"/>
          <w:szCs w:val="32"/>
          <w:u w:val="none"/>
          <w:lang w:val="en-US" w:eastAsia="zh-CN"/>
        </w:rPr>
        <w:t>申请条件</w:t>
      </w:r>
      <w:r>
        <w:rPr>
          <w:rFonts w:hint="eastAsia" w:ascii="仿宋_GB2312" w:hAnsi="仿宋_GB2312" w:eastAsia="仿宋_GB2312" w:cs="仿宋_GB2312"/>
          <w:b w:val="0"/>
          <w:bCs w:val="0"/>
          <w:color w:val="auto"/>
          <w:sz w:val="32"/>
          <w:szCs w:val="32"/>
          <w:u w:val="none"/>
          <w:lang w:val="en-US" w:eastAsia="zh-CN"/>
        </w:rPr>
        <w:t>属于法律法规有明确规定的，或者属于“</w:t>
      </w:r>
      <w:r>
        <w:rPr>
          <w:rFonts w:hint="eastAsia" w:ascii="仿宋_GB2312" w:hAnsi="仿宋_GB2312" w:eastAsia="仿宋_GB2312" w:cs="仿宋_GB2312"/>
          <w:b w:val="0"/>
          <w:bCs w:val="0"/>
          <w:color w:val="auto"/>
          <w:sz w:val="32"/>
          <w:szCs w:val="32"/>
          <w:u w:val="none"/>
        </w:rPr>
        <w:t>限制性条款</w:t>
      </w:r>
      <w:r>
        <w:rPr>
          <w:rFonts w:hint="eastAsia" w:ascii="仿宋_GB2312" w:hAnsi="仿宋_GB2312" w:eastAsia="仿宋_GB2312" w:cs="仿宋_GB2312"/>
          <w:b w:val="0"/>
          <w:bCs w:val="0"/>
          <w:color w:val="auto"/>
          <w:sz w:val="32"/>
          <w:szCs w:val="32"/>
          <w:u w:val="none"/>
          <w:lang w:val="en-US" w:eastAsia="zh-CN"/>
        </w:rPr>
        <w:t>”的不</w:t>
      </w:r>
      <w:r>
        <w:rPr>
          <w:rFonts w:hint="eastAsia" w:ascii="仿宋_GB2312" w:hAnsi="仿宋_GB2312" w:eastAsia="仿宋_GB2312" w:cs="仿宋_GB2312"/>
          <w:color w:val="auto"/>
          <w:sz w:val="32"/>
          <w:szCs w:val="32"/>
          <w:u w:val="none"/>
          <w:lang w:val="en-US" w:eastAsia="zh-CN"/>
        </w:rPr>
        <w:t>纳入轮候管理。</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 xml:space="preserve">第九条 </w:t>
      </w:r>
      <w:r>
        <w:rPr>
          <w:rFonts w:hint="eastAsia" w:ascii="仿宋_GB2312" w:hAnsi="仿宋_GB2312" w:eastAsia="仿宋_GB2312" w:cs="仿宋_GB2312"/>
          <w:b w:val="0"/>
          <w:bCs w:val="0"/>
          <w:color w:val="auto"/>
          <w:sz w:val="32"/>
          <w:szCs w:val="32"/>
          <w:u w:val="none"/>
          <w:lang w:val="en-US" w:eastAsia="zh-CN"/>
        </w:rPr>
        <w:t>申请人所在市场单元内</w:t>
      </w:r>
      <w:r>
        <w:rPr>
          <w:rFonts w:hint="eastAsia" w:ascii="仿宋_GB2312" w:hAnsi="仿宋_GB2312" w:eastAsia="仿宋_GB2312" w:cs="仿宋_GB2312"/>
          <w:bCs/>
          <w:color w:val="auto"/>
          <w:sz w:val="32"/>
          <w:szCs w:val="32"/>
          <w:u w:val="none"/>
          <w:lang w:val="en-US" w:eastAsia="zh-CN"/>
        </w:rPr>
        <w:t>零售点数量已达到容量上限的、</w:t>
      </w:r>
      <w:r>
        <w:rPr>
          <w:rFonts w:hint="eastAsia" w:ascii="仿宋_GB2312" w:hAnsi="仿宋_GB2312" w:eastAsia="仿宋_GB2312" w:cs="仿宋_GB2312"/>
          <w:color w:val="auto"/>
          <w:sz w:val="32"/>
          <w:szCs w:val="32"/>
          <w:u w:val="none"/>
          <w:lang w:val="en-US" w:eastAsia="zh-CN"/>
        </w:rPr>
        <w:t>不符合“间距”要求的，不纳入轮候管理。</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第十条</w:t>
      </w:r>
      <w:r>
        <w:rPr>
          <w:rFonts w:hint="eastAsia" w:ascii="仿宋_GB2312" w:hAnsi="仿宋_GB2312" w:eastAsia="仿宋_GB2312" w:cs="仿宋_GB2312"/>
          <w:b w:val="0"/>
          <w:bCs w:val="0"/>
          <w:color w:val="auto"/>
          <w:sz w:val="32"/>
          <w:szCs w:val="32"/>
          <w:u w:val="none"/>
          <w:lang w:val="en-US" w:eastAsia="zh-CN"/>
        </w:rPr>
        <w:t xml:space="preserve"> 申请人所在市场单元内</w:t>
      </w:r>
      <w:r>
        <w:rPr>
          <w:rFonts w:hint="eastAsia" w:ascii="仿宋_GB2312" w:hAnsi="仿宋_GB2312" w:eastAsia="仿宋_GB2312" w:cs="仿宋_GB2312"/>
          <w:bCs/>
          <w:color w:val="auto"/>
          <w:sz w:val="32"/>
          <w:szCs w:val="32"/>
          <w:u w:val="none"/>
          <w:lang w:val="en-US" w:eastAsia="zh-CN"/>
        </w:rPr>
        <w:t>零售点数量未达到容量上限、</w:t>
      </w:r>
      <w:r>
        <w:rPr>
          <w:rFonts w:hint="eastAsia" w:ascii="仿宋_GB2312" w:hAnsi="仿宋_GB2312" w:eastAsia="仿宋_GB2312" w:cs="仿宋_GB2312"/>
          <w:color w:val="auto"/>
          <w:sz w:val="32"/>
          <w:szCs w:val="32"/>
          <w:u w:val="none"/>
          <w:lang w:val="en-US" w:eastAsia="zh-CN"/>
        </w:rPr>
        <w:t>不符合“间距”要求的，不纳入轮候管理。</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第十一条</w:t>
      </w:r>
      <w:r>
        <w:rPr>
          <w:rFonts w:hint="eastAsia" w:ascii="仿宋_GB2312" w:hAnsi="仿宋_GB2312" w:eastAsia="仿宋_GB2312" w:cs="仿宋_GB2312"/>
          <w:color w:val="auto"/>
          <w:sz w:val="32"/>
          <w:szCs w:val="32"/>
          <w:u w:val="none"/>
          <w:lang w:val="en-US" w:eastAsia="zh-CN"/>
        </w:rPr>
        <w:t xml:space="preserve"> 属于第九条情形，</w:t>
      </w:r>
      <w:r>
        <w:rPr>
          <w:rFonts w:hint="eastAsia" w:ascii="仿宋_GB2312" w:hAnsi="仿宋_GB2312" w:eastAsia="仿宋_GB2312" w:cs="仿宋_GB2312"/>
          <w:bCs/>
          <w:color w:val="auto"/>
          <w:sz w:val="32"/>
          <w:szCs w:val="32"/>
          <w:u w:val="none"/>
          <w:lang w:val="en-US" w:eastAsia="zh-CN"/>
        </w:rPr>
        <w:t>当申请人</w:t>
      </w:r>
      <w:r>
        <w:rPr>
          <w:rFonts w:hint="eastAsia" w:ascii="仿宋_GB2312" w:hAnsi="仿宋_GB2312" w:eastAsia="仿宋_GB2312" w:cs="仿宋_GB2312"/>
          <w:bCs/>
          <w:color w:val="auto"/>
          <w:sz w:val="32"/>
          <w:szCs w:val="32"/>
          <w:u w:val="none"/>
          <w:lang w:val="en" w:eastAsia="zh-CN"/>
        </w:rPr>
        <w:t>“间距”因素消失后，申请人可进入</w:t>
      </w:r>
      <w:r>
        <w:rPr>
          <w:rFonts w:hint="eastAsia" w:ascii="仿宋_GB2312" w:hAnsi="仿宋_GB2312" w:eastAsia="仿宋_GB2312" w:cs="仿宋_GB2312"/>
          <w:bCs/>
          <w:color w:val="auto"/>
          <w:sz w:val="32"/>
          <w:szCs w:val="32"/>
          <w:u w:val="none"/>
          <w:lang w:val="en-US" w:eastAsia="zh-CN"/>
        </w:rPr>
        <w:t>轮候，轮候时间为申请人符合</w:t>
      </w:r>
      <w:r>
        <w:rPr>
          <w:rFonts w:hint="eastAsia" w:ascii="仿宋_GB2312" w:hAnsi="仿宋_GB2312" w:eastAsia="仿宋_GB2312" w:cs="仿宋_GB2312"/>
          <w:bCs/>
          <w:color w:val="auto"/>
          <w:sz w:val="32"/>
          <w:szCs w:val="32"/>
          <w:u w:val="none"/>
          <w:lang w:val="en" w:eastAsia="zh-CN"/>
        </w:rPr>
        <w:t>“间距”要求的</w:t>
      </w:r>
      <w:r>
        <w:rPr>
          <w:rFonts w:hint="eastAsia" w:ascii="仿宋_GB2312" w:hAnsi="仿宋_GB2312" w:eastAsia="仿宋_GB2312" w:cs="仿宋_GB2312"/>
          <w:bCs/>
          <w:color w:val="auto"/>
          <w:sz w:val="32"/>
          <w:szCs w:val="32"/>
          <w:u w:val="none"/>
          <w:lang w:val="en-US" w:eastAsia="zh-CN"/>
        </w:rPr>
        <w:t>时间。</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Cs/>
          <w:color w:val="auto"/>
          <w:sz w:val="32"/>
          <w:szCs w:val="32"/>
          <w:u w:val="none"/>
          <w:lang w:val="en" w:eastAsia="zh-CN"/>
        </w:rPr>
      </w:pPr>
      <w:r>
        <w:rPr>
          <w:rFonts w:hint="eastAsia" w:ascii="楷体_GB2312" w:hAnsi="楷体_GB2312" w:eastAsia="楷体_GB2312" w:cs="楷体_GB2312"/>
          <w:b/>
          <w:bCs/>
          <w:color w:val="auto"/>
          <w:sz w:val="32"/>
          <w:szCs w:val="32"/>
          <w:u w:val="none"/>
          <w:lang w:val="en" w:eastAsia="zh-CN"/>
        </w:rPr>
        <w:t>第</w:t>
      </w:r>
      <w:r>
        <w:rPr>
          <w:rFonts w:hint="eastAsia" w:ascii="楷体_GB2312" w:hAnsi="楷体_GB2312" w:eastAsia="楷体_GB2312" w:cs="楷体_GB2312"/>
          <w:b/>
          <w:bCs/>
          <w:color w:val="auto"/>
          <w:sz w:val="32"/>
          <w:szCs w:val="32"/>
          <w:u w:val="none"/>
          <w:lang w:val="en-US" w:eastAsia="zh-CN"/>
        </w:rPr>
        <w:t>十二</w:t>
      </w:r>
      <w:r>
        <w:rPr>
          <w:rFonts w:hint="eastAsia" w:ascii="楷体_GB2312" w:hAnsi="楷体_GB2312" w:eastAsia="楷体_GB2312" w:cs="楷体_GB2312"/>
          <w:b/>
          <w:bCs/>
          <w:color w:val="auto"/>
          <w:sz w:val="32"/>
          <w:szCs w:val="32"/>
          <w:u w:val="none"/>
          <w:lang w:val="en" w:eastAsia="zh-CN"/>
        </w:rPr>
        <w:t>条</w:t>
      </w:r>
      <w:r>
        <w:rPr>
          <w:rFonts w:hint="eastAsia" w:ascii="仿宋_GB2312" w:hAnsi="仿宋_GB2312" w:eastAsia="仿宋_GB2312" w:cs="仿宋_GB2312"/>
          <w:bCs/>
          <w:color w:val="auto"/>
          <w:sz w:val="32"/>
          <w:szCs w:val="32"/>
          <w:u w:val="none"/>
          <w:lang w:val="en-US" w:eastAsia="zh-CN"/>
        </w:rPr>
        <w:t xml:space="preserve"> </w:t>
      </w:r>
      <w:r>
        <w:rPr>
          <w:rFonts w:hint="eastAsia" w:ascii="仿宋_GB2312" w:hAnsi="仿宋_GB2312" w:eastAsia="仿宋_GB2312" w:cs="仿宋_GB2312"/>
          <w:b w:val="0"/>
          <w:color w:val="auto"/>
          <w:sz w:val="32"/>
          <w:szCs w:val="32"/>
          <w:lang w:val="en-US" w:eastAsia="zh-CN"/>
        </w:rPr>
        <w:t>发证机关应及时公开辖区内各市场单元的零售点规划数量、现有数量、可办数量、排队数量等情况，并通过轮候管理平台（“新烟政务通”）进行公示。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
          <w:bCs/>
          <w:color w:val="auto"/>
          <w:kern w:val="0"/>
          <w:sz w:val="32"/>
          <w:szCs w:val="32"/>
          <w:u w:val="none"/>
          <w:lang w:val="en-US" w:eastAsia="zh-CN" w:bidi="ar"/>
        </w:rPr>
      </w:pPr>
      <w:r>
        <w:rPr>
          <w:rFonts w:hint="eastAsia" w:ascii="楷体_GB2312" w:hAnsi="楷体_GB2312" w:eastAsia="楷体_GB2312" w:cs="楷体_GB2312"/>
          <w:b/>
          <w:bCs/>
          <w:color w:val="auto"/>
          <w:sz w:val="32"/>
          <w:szCs w:val="32"/>
          <w:u w:val="none"/>
          <w:lang w:val="en-US" w:eastAsia="zh-CN"/>
        </w:rPr>
        <w:t>第十三条</w:t>
      </w:r>
      <w:r>
        <w:rPr>
          <w:rFonts w:hint="eastAsia" w:ascii="仿宋_GB2312" w:hAnsi="仿宋_GB2312" w:eastAsia="仿宋_GB2312" w:cs="仿宋_GB2312"/>
          <w:b w:val="0"/>
          <w:bCs w:val="0"/>
          <w:color w:val="auto"/>
          <w:sz w:val="32"/>
          <w:szCs w:val="32"/>
          <w:u w:val="none"/>
          <w:lang w:val="en-US" w:eastAsia="zh-CN"/>
        </w:rPr>
        <w:t xml:space="preserve"> </w:t>
      </w:r>
      <w:r>
        <w:rPr>
          <w:rFonts w:hint="eastAsia" w:ascii="仿宋_GB2312" w:hAnsi="仿宋_GB2312" w:eastAsia="仿宋_GB2312" w:cs="仿宋_GB2312"/>
          <w:b w:val="0"/>
          <w:color w:val="auto"/>
          <w:sz w:val="32"/>
          <w:szCs w:val="32"/>
          <w:lang w:val="en-US" w:eastAsia="zh-CN"/>
        </w:rPr>
        <w:t>轮候申请资料与实际申请资料应当保持一致，轮候顺序不得调换或转让。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楷体_GB2312" w:hAnsi="楷体_GB2312" w:eastAsia="楷体_GB2312" w:cs="楷体_GB2312"/>
          <w:b/>
          <w:bCs/>
          <w:color w:val="auto"/>
          <w:sz w:val="32"/>
          <w:szCs w:val="32"/>
          <w:u w:val="none"/>
          <w:lang w:val="en-US" w:eastAsia="zh-CN"/>
        </w:rPr>
        <w:t>第十四条</w:t>
      </w:r>
      <w:r>
        <w:rPr>
          <w:rFonts w:hint="eastAsia" w:ascii="仿宋_GB2312" w:hAnsi="仿宋_GB2312" w:eastAsia="仿宋_GB2312" w:cs="仿宋_GB2312"/>
          <w:color w:val="auto"/>
          <w:kern w:val="0"/>
          <w:sz w:val="32"/>
          <w:szCs w:val="32"/>
          <w:u w:val="none"/>
          <w:lang w:val="en-US" w:eastAsia="zh-CN" w:bidi="ar"/>
        </w:rPr>
        <w:t xml:space="preserve"> </w:t>
      </w:r>
      <w:r>
        <w:rPr>
          <w:rFonts w:hint="eastAsia" w:ascii="仿宋_GB2312" w:hAnsi="仿宋_GB2312" w:eastAsia="仿宋_GB2312" w:cs="仿宋_GB2312"/>
          <w:b w:val="0"/>
          <w:color w:val="auto"/>
          <w:sz w:val="32"/>
          <w:szCs w:val="32"/>
          <w:lang w:val="en-US" w:eastAsia="zh-CN"/>
        </w:rPr>
        <w:t>排队轮候期间，申请人出现下列情形的，轮候资格及位次不变，申请人应及时提供新的申请资料：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（一）企业名称、个体工商户名称、法定代表人或其他组织负责人、经营者姓名以及经营地址名称等登记事项发生改变。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（二）企业类型发生改变但经营主体未变化的。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（三）个体工商户组成形式为家庭经营的，经营者在备案的家庭成员间变化的。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楷体_GB2312" w:hAnsi="楷体_GB2312" w:eastAsia="楷体_GB2312" w:cs="楷体_GB2312"/>
          <w:b/>
          <w:bCs/>
          <w:color w:val="auto"/>
          <w:kern w:val="2"/>
          <w:sz w:val="32"/>
          <w:szCs w:val="32"/>
          <w:u w:val="none"/>
          <w:lang w:val="en-US" w:eastAsia="zh-CN" w:bidi="ar-SA"/>
        </w:rPr>
        <w:t>第十五条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b w:val="0"/>
          <w:color w:val="auto"/>
          <w:sz w:val="32"/>
          <w:szCs w:val="32"/>
          <w:lang w:val="en-US" w:eastAsia="zh-CN"/>
        </w:rPr>
        <w:t>排队轮候期间，申请人出现下列情形的，该排队轮候失效，由下一位次序递补申请：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（一）主动放弃排队轮候权利的。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排队轮候到号后，逾期五日内未提出新办申请，或发证机关通过申请人预留的联系方式无法联系到申请人的（五日内随机时段拨打电话三次，或通过短信、书面等方式通知后没有回应的，视为无法联系，保留录音录像等记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（三）经营地址发生变化的。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（四）经营主体发生变化的。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（五）被市场监督管理部门吊销或注销营业执照。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（六）擅自从事烟草专卖品生产经营活动受到行政处罚或刑事处罚的。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（七）</w:t>
      </w:r>
      <w:r>
        <w:rPr>
          <w:rFonts w:hint="eastAsia" w:ascii="仿宋_GB2312" w:hAnsi="仿宋_GB2312" w:eastAsia="仿宋_GB2312" w:cs="仿宋_GB2312"/>
          <w:b w:val="0"/>
          <w:color w:val="auto"/>
          <w:sz w:val="32"/>
          <w:szCs w:val="32"/>
          <w:u w:val="none"/>
          <w:lang w:val="en-US" w:eastAsia="zh-CN"/>
        </w:rPr>
        <w:t>因其他轮候申请人取得许可后导致不符合“间距”相关要求的。</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center"/>
        <w:textAlignment w:val="auto"/>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val="0"/>
          <w:color w:val="auto"/>
          <w:sz w:val="32"/>
          <w:szCs w:val="32"/>
          <w:lang w:val="en-US" w:eastAsia="zh-CN"/>
        </w:rPr>
        <w:t>（八）因轮候申请人原因导致轮候资格失效的其他情形。</w:t>
      </w:r>
      <w:r>
        <w:rPr>
          <w:rFonts w:hint="eastAsia" w:ascii="黑体" w:hAnsi="黑体" w:eastAsia="黑体" w:cs="黑体"/>
          <w:b w:val="0"/>
          <w:bCs w:val="0"/>
          <w:color w:val="auto"/>
          <w:kern w:val="2"/>
          <w:sz w:val="32"/>
          <w:szCs w:val="32"/>
          <w:u w:val="none"/>
          <w:lang w:val="en-US" w:eastAsia="zh-CN" w:bidi="ar-SA"/>
        </w:rPr>
        <w:br w:type="textWrapping"/>
      </w:r>
      <w:r>
        <w:rPr>
          <w:rFonts w:hint="eastAsia" w:ascii="黑体" w:hAnsi="黑体" w:eastAsia="黑体" w:cs="黑体"/>
          <w:b w:val="0"/>
          <w:bCs w:val="0"/>
          <w:color w:val="auto"/>
          <w:kern w:val="2"/>
          <w:sz w:val="32"/>
          <w:szCs w:val="32"/>
          <w:u w:val="none"/>
          <w:lang w:val="en-US" w:eastAsia="zh-CN" w:bidi="ar-SA"/>
        </w:rPr>
        <w:t>第三章 排队轮候名额使用程序</w:t>
      </w:r>
    </w:p>
    <w:p>
      <w:pPr>
        <w:keepNext w:val="0"/>
        <w:keepLines w:val="0"/>
        <w:pageBreakBefore w:val="0"/>
        <w:kinsoku/>
        <w:wordWrap/>
        <w:overflowPunct/>
        <w:topLinePunct w:val="0"/>
        <w:autoSpaceDE/>
        <w:autoSpaceDN/>
        <w:bidi w:val="0"/>
        <w:adjustRightInd/>
        <w:snapToGrid/>
        <w:spacing w:line="360" w:lineRule="auto"/>
        <w:ind w:firstLine="642" w:firstLineChars="200"/>
        <w:jc w:val="both"/>
        <w:textAlignment w:val="auto"/>
        <w:rPr>
          <w:rFonts w:hint="default" w:ascii="仿宋_GB2312" w:hAnsi="仿宋_GB2312" w:eastAsia="仿宋_GB2312" w:cs="仿宋_GB2312"/>
          <w:color w:val="auto"/>
          <w:kern w:val="0"/>
          <w:sz w:val="32"/>
          <w:szCs w:val="32"/>
          <w:u w:val="none"/>
          <w:lang w:val="en-US" w:eastAsia="zh-CN" w:bidi="ar"/>
        </w:rPr>
      </w:pPr>
      <w:r>
        <w:rPr>
          <w:rFonts w:hint="eastAsia" w:ascii="楷体_GB2312" w:hAnsi="楷体_GB2312" w:eastAsia="楷体_GB2312" w:cs="楷体_GB2312"/>
          <w:b/>
          <w:bCs/>
          <w:color w:val="auto"/>
          <w:sz w:val="32"/>
          <w:szCs w:val="32"/>
          <w:u w:val="none"/>
          <w:lang w:val="en-US" w:eastAsia="zh-CN"/>
        </w:rPr>
        <w:t>第十六条</w:t>
      </w:r>
      <w:r>
        <w:rPr>
          <w:rFonts w:hint="eastAsia" w:ascii="仿宋_GB2312" w:hAnsi="仿宋_GB2312" w:eastAsia="仿宋_GB2312" w:cs="仿宋_GB2312"/>
          <w:b w:val="0"/>
          <w:bCs w:val="0"/>
          <w:color w:val="auto"/>
          <w:sz w:val="32"/>
          <w:szCs w:val="32"/>
          <w:u w:val="none"/>
          <w:lang w:val="en-US" w:eastAsia="zh-CN"/>
        </w:rPr>
        <w:t xml:space="preserve"> </w:t>
      </w:r>
      <w:r>
        <w:rPr>
          <w:rFonts w:hint="eastAsia" w:ascii="仿宋_GB2312" w:hAnsi="仿宋_GB2312" w:eastAsia="仿宋_GB2312" w:cs="仿宋_GB2312"/>
          <w:color w:val="auto"/>
          <w:kern w:val="0"/>
          <w:sz w:val="32"/>
          <w:szCs w:val="32"/>
          <w:u w:val="none"/>
          <w:lang w:val="en-US" w:eastAsia="zh-CN" w:bidi="ar"/>
        </w:rPr>
        <w:t xml:space="preserve">发证机关送达《不予许可决定书》时，告知申请人可参加轮候，申请人自愿参加轮候的，签署《烟草专卖零售许可排队轮候承诺书》（附件1），承诺书一式两份，分别交由申请人和发证机关保管。排队轮候失效的，工作人员需在《烟草专卖零售许可排队轮候承诺书》（附件1）写明失效原因、时间等具体事项。 </w:t>
      </w:r>
    </w:p>
    <w:p>
      <w:pPr>
        <w:pStyle w:val="5"/>
        <w:keepNext w:val="0"/>
        <w:keepLines w:val="0"/>
        <w:widowControl/>
        <w:suppressLineNumbers w:val="0"/>
        <w:spacing w:before="0" w:beforeAutospacing="0" w:after="0" w:afterAutospacing="0" w:line="360" w:lineRule="auto"/>
        <w:ind w:left="0" w:right="0" w:firstLine="642" w:firstLineChars="200"/>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kern w:val="2"/>
          <w:sz w:val="32"/>
          <w:szCs w:val="32"/>
          <w:u w:val="none"/>
          <w:lang w:val="en-US" w:eastAsia="zh-CN" w:bidi="ar-SA"/>
        </w:rPr>
        <w:t>第十七条</w:t>
      </w:r>
      <w:r>
        <w:rPr>
          <w:rFonts w:hint="eastAsia" w:ascii="仿宋_GB2312" w:hAnsi="仿宋_GB2312" w:eastAsia="仿宋_GB2312" w:cs="仿宋_GB2312"/>
          <w:color w:val="auto"/>
          <w:sz w:val="32"/>
          <w:szCs w:val="32"/>
          <w:u w:val="none"/>
          <w:lang w:val="en-US" w:eastAsia="zh-CN"/>
        </w:rPr>
        <w:t xml:space="preserve"> 当市场单元容量内有办证额度数时，发证机</w:t>
      </w:r>
      <w:r>
        <w:rPr>
          <w:rFonts w:hint="eastAsia" w:ascii="仿宋_GB2312" w:hAnsi="仿宋_GB2312" w:eastAsia="仿宋_GB2312" w:cs="仿宋_GB2312"/>
          <w:color w:val="auto"/>
          <w:sz w:val="32"/>
          <w:szCs w:val="32"/>
          <w:highlight w:val="none"/>
          <w:u w:val="none"/>
          <w:lang w:val="en-US" w:eastAsia="zh-CN"/>
        </w:rPr>
        <w:t>关按照轮候顺序告知排队到号的申请人，提交新办申请，符合办证条件的，依法作出准予许可决定；不符合办证条件的，依法作出不予许可决定，排队轮候位次按照原顺序依次递进。</w:t>
      </w:r>
    </w:p>
    <w:p>
      <w:pPr>
        <w:pStyle w:val="5"/>
        <w:keepNext w:val="0"/>
        <w:keepLines w:val="0"/>
        <w:widowControl/>
        <w:suppressLineNumbers w:val="0"/>
        <w:spacing w:before="0" w:beforeAutospacing="0" w:after="0" w:afterAutospacing="0" w:line="360" w:lineRule="auto"/>
        <w:ind w:left="0" w:right="0" w:firstLine="640"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符合《尼勒克县烟草制品零售点合理布局规划》第十八条规定的情形，因</w:t>
      </w:r>
      <w:r>
        <w:rPr>
          <w:rFonts w:hint="eastAsia" w:ascii="仿宋_GB2312" w:eastAsia="仿宋_GB2312" w:cs="Times New Roman"/>
          <w:color w:val="auto"/>
          <w:sz w:val="32"/>
          <w:szCs w:val="32"/>
        </w:rPr>
        <w:t>所在市场单元内零售点数量已达到容量上限</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rPr>
        <w:t>持有三级以上（含三级）残疾人证（含视力残疾、听力残疾、言语残疾或肢体残疾）的个体工商户</w:t>
      </w:r>
      <w:r>
        <w:rPr>
          <w:rFonts w:hint="eastAsia" w:ascii="仿宋_GB2312" w:hAnsi="仿宋_GB2312" w:eastAsia="仿宋_GB2312" w:cs="仿宋_GB2312"/>
          <w:color w:val="auto"/>
          <w:sz w:val="32"/>
          <w:szCs w:val="32"/>
          <w:highlight w:val="none"/>
          <w:u w:val="none"/>
          <w:lang w:val="en-US" w:eastAsia="zh-CN"/>
        </w:rPr>
        <w:t>进入排队轮候序列，同等轮候、公平排序。</w:t>
      </w:r>
    </w:p>
    <w:p>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kern w:val="2"/>
          <w:sz w:val="32"/>
          <w:szCs w:val="32"/>
          <w:u w:val="none"/>
          <w:lang w:val="en-US" w:eastAsia="zh-CN" w:bidi="ar-SA"/>
        </w:rPr>
        <w:t xml:space="preserve">第十八条 </w:t>
      </w:r>
      <w:r>
        <w:rPr>
          <w:rFonts w:hint="eastAsia" w:ascii="仿宋_GB2312" w:hAnsi="仿宋_GB2312" w:eastAsia="仿宋_GB2312" w:cs="仿宋_GB2312"/>
          <w:color w:val="auto"/>
          <w:sz w:val="32"/>
          <w:szCs w:val="32"/>
          <w:highlight w:val="none"/>
          <w:u w:val="none"/>
          <w:lang w:val="en-US" w:eastAsia="zh-CN"/>
        </w:rPr>
        <w:t>申请人轮候顺序发生变动时，发证机关应在新烟政务通小程序进行更新查询，并向排队人员告知查询渠道。</w:t>
      </w:r>
    </w:p>
    <w:p>
      <w:pPr>
        <w:keepNext w:val="0"/>
        <w:keepLines w:val="0"/>
        <w:pageBreakBefore w:val="0"/>
        <w:numPr>
          <w:ilvl w:val="-1"/>
          <w:numId w:val="0"/>
        </w:numPr>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b/>
          <w:bCs/>
          <w:color w:val="auto"/>
          <w:sz w:val="32"/>
          <w:szCs w:val="32"/>
          <w:u w:val="none"/>
          <w:lang w:val="en-US" w:eastAsia="zh-CN"/>
        </w:rPr>
      </w:pPr>
      <w:r>
        <w:rPr>
          <w:rFonts w:hint="eastAsia" w:ascii="黑体" w:hAnsi="宋体" w:eastAsia="黑体" w:cs="黑体"/>
          <w:color w:val="auto"/>
          <w:sz w:val="31"/>
          <w:szCs w:val="31"/>
          <w:u w:val="none"/>
          <w:lang w:val="en-US" w:eastAsia="zh-CN"/>
        </w:rPr>
        <w:t>第四章 监督检查</w:t>
      </w:r>
    </w:p>
    <w:p>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2"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bCs/>
          <w:color w:val="auto"/>
          <w:kern w:val="2"/>
          <w:sz w:val="32"/>
          <w:szCs w:val="32"/>
          <w:u w:val="none"/>
          <w:lang w:val="en-US" w:eastAsia="zh-CN" w:bidi="ar-SA"/>
        </w:rPr>
        <w:t>第十九条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highlight w:val="none"/>
          <w:u w:val="none"/>
          <w:lang w:val="en-US" w:eastAsia="zh-CN"/>
        </w:rPr>
        <w:t>工作人员有下列情形之一的，发证机关应依据相关规定追究责任；构成犯罪的，依法移送司法机关追究刑事责任：</w:t>
      </w:r>
    </w:p>
    <w:p>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（一）徇私舞弊、索贿受贿、谋取非法利益或收取相关费用的。</w:t>
      </w:r>
    </w:p>
    <w:p>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（二）滥用职权、玩忽职守、粗暴执法、失职渎职的。</w:t>
      </w:r>
    </w:p>
    <w:p>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（三）泄露个人信息、企业信息的。</w:t>
      </w:r>
    </w:p>
    <w:p>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（四）依法应当追究责任的其他情形。</w:t>
      </w:r>
    </w:p>
    <w:p>
      <w:pPr>
        <w:keepNext w:val="0"/>
        <w:keepLines w:val="0"/>
        <w:pageBreakBefore w:val="0"/>
        <w:numPr>
          <w:ilvl w:val="-1"/>
          <w:numId w:val="0"/>
        </w:numPr>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b/>
          <w:bCs/>
          <w:color w:val="auto"/>
          <w:kern w:val="0"/>
          <w:sz w:val="32"/>
          <w:szCs w:val="32"/>
          <w:u w:val="none"/>
          <w:lang w:val="en-US" w:eastAsia="zh-CN" w:bidi="ar"/>
        </w:rPr>
      </w:pPr>
      <w:r>
        <w:rPr>
          <w:rFonts w:hint="eastAsia" w:ascii="黑体" w:hAnsi="黑体" w:eastAsia="黑体" w:cs="黑体"/>
          <w:b w:val="0"/>
          <w:bCs w:val="0"/>
          <w:color w:val="auto"/>
          <w:kern w:val="2"/>
          <w:sz w:val="32"/>
          <w:szCs w:val="32"/>
          <w:u w:val="none"/>
          <w:lang w:val="en-US" w:eastAsia="zh-CN" w:bidi="ar-SA"/>
        </w:rPr>
        <w:t xml:space="preserve">第五章 </w:t>
      </w:r>
      <w:r>
        <w:rPr>
          <w:rFonts w:hint="eastAsia" w:ascii="黑体" w:hAnsi="宋体" w:eastAsia="黑体" w:cs="黑体"/>
          <w:color w:val="auto"/>
          <w:sz w:val="31"/>
          <w:szCs w:val="31"/>
          <w:u w:val="none"/>
          <w:lang w:val="en-US" w:eastAsia="zh-CN"/>
        </w:rPr>
        <w:t>附则</w:t>
      </w:r>
    </w:p>
    <w:p>
      <w:pPr>
        <w:keepNext w:val="0"/>
        <w:keepLines w:val="0"/>
        <w:pageBreakBefore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color w:val="auto"/>
          <w:kern w:val="2"/>
          <w:sz w:val="32"/>
          <w:szCs w:val="32"/>
          <w:u w:val="none"/>
          <w:lang w:val="en-US" w:eastAsia="zh-CN" w:bidi="ar-SA"/>
        </w:rPr>
        <w:t>第二十条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kern w:val="0"/>
          <w:sz w:val="32"/>
          <w:szCs w:val="32"/>
          <w:highlight w:val="none"/>
          <w:u w:val="none"/>
          <w:lang w:val="en-US" w:eastAsia="zh-CN" w:bidi="ar"/>
        </w:rPr>
        <w:t>本办法所指“以上”包括本数，本办法所指“日”为工作日。</w:t>
      </w:r>
    </w:p>
    <w:p>
      <w:pPr>
        <w:keepNext w:val="0"/>
        <w:keepLines w:val="0"/>
        <w:pageBreakBefore w:val="0"/>
        <w:kinsoku/>
        <w:wordWrap/>
        <w:overflowPunct/>
        <w:topLinePunct w:val="0"/>
        <w:autoSpaceDE/>
        <w:autoSpaceDN/>
        <w:bidi w:val="0"/>
        <w:adjustRightInd/>
        <w:snapToGrid/>
        <w:spacing w:line="360" w:lineRule="auto"/>
        <w:ind w:firstLine="642"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
        </w:rPr>
      </w:pPr>
      <w:r>
        <w:rPr>
          <w:rFonts w:hint="eastAsia" w:ascii="楷体_GB2312" w:hAnsi="楷体_GB2312" w:eastAsia="楷体_GB2312" w:cs="楷体_GB2312"/>
          <w:b/>
          <w:bCs/>
          <w:color w:val="auto"/>
          <w:kern w:val="2"/>
          <w:sz w:val="32"/>
          <w:szCs w:val="32"/>
          <w:u w:val="none"/>
          <w:lang w:val="en-US" w:eastAsia="zh-CN" w:bidi="ar-SA"/>
        </w:rPr>
        <w:t>第二十一条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kern w:val="0"/>
          <w:sz w:val="32"/>
          <w:szCs w:val="32"/>
          <w:highlight w:val="none"/>
          <w:u w:val="none"/>
          <w:lang w:val="en-US" w:eastAsia="zh-CN" w:bidi="ar"/>
        </w:rPr>
        <w:t>本办法由尼勒克县烟草专卖局负责解释。</w:t>
      </w:r>
    </w:p>
    <w:p>
      <w:pPr>
        <w:numPr>
          <w:ilvl w:val="0"/>
          <w:numId w:val="0"/>
        </w:numPr>
        <w:spacing w:line="360" w:lineRule="auto"/>
        <w:ind w:firstLine="642" w:firstLineChars="200"/>
        <w:rPr>
          <w:rFonts w:hint="eastAsia" w:ascii="仿宋_GB2312" w:hAnsi="仿宋_GB2312" w:eastAsia="仿宋_GB2312" w:cs="仿宋_GB2312"/>
          <w:color w:val="auto"/>
          <w:kern w:val="0"/>
          <w:sz w:val="32"/>
          <w:szCs w:val="32"/>
          <w:highlight w:val="none"/>
          <w:u w:val="none"/>
          <w:lang w:val="en-US" w:eastAsia="zh-CN" w:bidi="ar"/>
        </w:rPr>
        <w:sectPr>
          <w:pgSz w:w="11906" w:h="16838"/>
          <w:pgMar w:top="1440" w:right="1800" w:bottom="1440" w:left="1800" w:header="851" w:footer="992" w:gutter="0"/>
          <w:cols w:space="720" w:num="1"/>
          <w:docGrid w:type="lines" w:linePitch="312" w:charSpace="0"/>
        </w:sectPr>
      </w:pPr>
      <w:r>
        <w:rPr>
          <w:rFonts w:hint="eastAsia" w:ascii="楷体_GB2312" w:hAnsi="楷体_GB2312" w:eastAsia="楷体_GB2312" w:cs="楷体_GB2312"/>
          <w:b/>
          <w:bCs/>
          <w:color w:val="auto"/>
          <w:kern w:val="2"/>
          <w:sz w:val="32"/>
          <w:szCs w:val="32"/>
          <w:u w:val="none"/>
          <w:lang w:val="en-US" w:eastAsia="zh-CN" w:bidi="ar-SA"/>
        </w:rPr>
        <w:t>第二十二条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kern w:val="0"/>
          <w:sz w:val="32"/>
          <w:szCs w:val="32"/>
          <w:highlight w:val="none"/>
          <w:u w:val="none"/>
          <w:lang w:val="en-US" w:eastAsia="zh-CN" w:bidi="ar"/>
        </w:rPr>
        <w:t>本办法与   年  月  日实施的《尼勒克县</w:t>
      </w:r>
      <w:bookmarkStart w:id="0" w:name="_GoBack"/>
      <w:bookmarkEnd w:id="0"/>
      <w:r>
        <w:rPr>
          <w:rFonts w:hint="eastAsia" w:ascii="仿宋_GB2312" w:hAnsi="仿宋_GB2312" w:eastAsia="仿宋_GB2312" w:cs="仿宋_GB2312"/>
          <w:color w:val="auto"/>
          <w:kern w:val="0"/>
          <w:sz w:val="32"/>
          <w:szCs w:val="32"/>
          <w:highlight w:val="none"/>
          <w:u w:val="none"/>
          <w:lang w:val="en-US" w:eastAsia="zh-CN" w:bidi="ar"/>
        </w:rPr>
        <w:t>烟草制品零售点合理布局规划》同步实施。本办法与上级文件不一致的，以上级文件规定为准，如遇法律法规或相关政策调整，将适时对本办法进行修订。</w:t>
      </w:r>
    </w:p>
    <w:p>
      <w:pPr>
        <w:spacing w:line="560" w:lineRule="exact"/>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附件1：</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方正小标宋简体" w:hAnsi="方正小标宋简体" w:eastAsia="方正小标宋简体" w:cs="方正小标宋简体"/>
          <w:color w:val="auto"/>
          <w:kern w:val="2"/>
          <w:sz w:val="44"/>
          <w:szCs w:val="44"/>
          <w:u w:val="none"/>
          <w:lang w:val="en-US" w:eastAsia="zh-CN" w:bidi="ar-SA"/>
        </w:rPr>
      </w:pPr>
      <w:r>
        <w:rPr>
          <w:rFonts w:hint="eastAsia" w:ascii="方正小标宋简体" w:hAnsi="方正小标宋简体" w:eastAsia="方正小标宋简体" w:cs="方正小标宋简体"/>
          <w:color w:val="auto"/>
          <w:kern w:val="0"/>
          <w:sz w:val="44"/>
          <w:szCs w:val="44"/>
          <w:u w:val="none"/>
          <w:lang w:val="en-US" w:eastAsia="zh-CN" w:bidi="ar"/>
        </w:rPr>
        <w:t>烟草专卖零售许可排队轮候承诺书</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4"/>
        <w:gridCol w:w="1513"/>
        <w:gridCol w:w="394"/>
        <w:gridCol w:w="2389"/>
        <w:gridCol w:w="1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4" w:type="dxa"/>
            <w:noWrap w:val="0"/>
            <w:vAlign w:val="top"/>
          </w:tcPr>
          <w:p>
            <w:pPr>
              <w:spacing w:line="560" w:lineRule="exact"/>
              <w:jc w:val="center"/>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eastAsia="zh-CN"/>
              </w:rPr>
              <w:t>企业</w:t>
            </w:r>
            <w:r>
              <w:rPr>
                <w:rFonts w:hint="eastAsia" w:ascii="仿宋_GB2312" w:hAnsi="仿宋_GB2312" w:eastAsia="仿宋_GB2312" w:cs="仿宋_GB2312"/>
                <w:b w:val="0"/>
                <w:bCs w:val="0"/>
                <w:color w:val="auto"/>
                <w:sz w:val="24"/>
                <w:szCs w:val="24"/>
              </w:rPr>
              <w:t>名称</w:t>
            </w:r>
            <w:r>
              <w:rPr>
                <w:rFonts w:hint="eastAsia" w:ascii="仿宋_GB2312" w:hAnsi="仿宋_GB2312" w:eastAsia="仿宋_GB2312" w:cs="仿宋_GB2312"/>
                <w:b w:val="0"/>
                <w:bCs w:val="0"/>
                <w:color w:val="auto"/>
                <w:sz w:val="24"/>
                <w:szCs w:val="24"/>
                <w:lang w:val="en-US" w:eastAsia="zh-CN"/>
              </w:rPr>
              <w:t>/个体工商户名称</w:t>
            </w:r>
          </w:p>
        </w:tc>
        <w:tc>
          <w:tcPr>
            <w:tcW w:w="1513" w:type="dxa"/>
            <w:noWrap w:val="0"/>
            <w:vAlign w:val="top"/>
          </w:tcPr>
          <w:p>
            <w:pPr>
              <w:spacing w:line="560" w:lineRule="exact"/>
              <w:jc w:val="center"/>
              <w:rPr>
                <w:rFonts w:hint="eastAsia" w:ascii="仿宋_GB2312" w:hAnsi="仿宋_GB2312" w:eastAsia="仿宋_GB2312" w:cs="仿宋_GB2312"/>
                <w:b w:val="0"/>
                <w:bCs w:val="0"/>
                <w:color w:val="auto"/>
                <w:sz w:val="24"/>
                <w:szCs w:val="24"/>
              </w:rPr>
            </w:pPr>
          </w:p>
        </w:tc>
        <w:tc>
          <w:tcPr>
            <w:tcW w:w="2783" w:type="dxa"/>
            <w:gridSpan w:val="2"/>
            <w:noWrap w:val="0"/>
            <w:vAlign w:val="center"/>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统一社会信用代码</w:t>
            </w:r>
          </w:p>
        </w:tc>
        <w:tc>
          <w:tcPr>
            <w:tcW w:w="1872" w:type="dxa"/>
            <w:noWrap w:val="0"/>
            <w:vAlign w:val="top"/>
          </w:tcPr>
          <w:p>
            <w:pPr>
              <w:spacing w:line="560" w:lineRule="exact"/>
              <w:rPr>
                <w:rFonts w:hint="eastAsia" w:ascii="仿宋_GB2312" w:hAnsi="仿宋_GB2312" w:eastAsia="仿宋_GB2312" w:cs="仿宋_GB2312"/>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4" w:type="dxa"/>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rPr>
              <w:t>申请人</w:t>
            </w:r>
          </w:p>
        </w:tc>
        <w:tc>
          <w:tcPr>
            <w:tcW w:w="1513" w:type="dxa"/>
            <w:noWrap w:val="0"/>
            <w:vAlign w:val="top"/>
          </w:tcPr>
          <w:p>
            <w:pPr>
              <w:spacing w:line="560" w:lineRule="exact"/>
              <w:jc w:val="center"/>
              <w:rPr>
                <w:rFonts w:hint="eastAsia" w:ascii="仿宋_GB2312" w:hAnsi="仿宋_GB2312" w:eastAsia="仿宋_GB2312" w:cs="仿宋_GB2312"/>
                <w:b w:val="0"/>
                <w:bCs w:val="0"/>
                <w:color w:val="auto"/>
                <w:sz w:val="24"/>
                <w:szCs w:val="24"/>
              </w:rPr>
            </w:pPr>
          </w:p>
        </w:tc>
        <w:tc>
          <w:tcPr>
            <w:tcW w:w="2783" w:type="dxa"/>
            <w:gridSpan w:val="2"/>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身份证号</w:t>
            </w:r>
          </w:p>
        </w:tc>
        <w:tc>
          <w:tcPr>
            <w:tcW w:w="1872" w:type="dxa"/>
            <w:noWrap w:val="0"/>
            <w:vAlign w:val="top"/>
          </w:tcPr>
          <w:p>
            <w:pPr>
              <w:spacing w:line="560" w:lineRule="exact"/>
              <w:rPr>
                <w:rFonts w:hint="eastAsia" w:ascii="仿宋_GB2312" w:hAnsi="仿宋_GB2312" w:eastAsia="仿宋_GB2312" w:cs="仿宋_GB2312"/>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4" w:type="dxa"/>
            <w:noWrap w:val="0"/>
            <w:vAlign w:val="top"/>
          </w:tcPr>
          <w:p>
            <w:pPr>
              <w:spacing w:line="560" w:lineRule="exact"/>
              <w:jc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lang w:eastAsia="zh-CN"/>
              </w:rPr>
              <w:t>经营地址</w:t>
            </w:r>
          </w:p>
        </w:tc>
        <w:tc>
          <w:tcPr>
            <w:tcW w:w="6168" w:type="dxa"/>
            <w:gridSpan w:val="4"/>
            <w:noWrap w:val="0"/>
            <w:vAlign w:val="top"/>
          </w:tcPr>
          <w:p>
            <w:pPr>
              <w:spacing w:line="560" w:lineRule="exact"/>
              <w:rPr>
                <w:rFonts w:hint="eastAsia" w:ascii="仿宋_GB2312" w:hAnsi="仿宋_GB2312" w:eastAsia="仿宋_GB2312" w:cs="仿宋_GB2312"/>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354" w:type="dxa"/>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rPr>
              <w:t>联系电话</w:t>
            </w:r>
          </w:p>
        </w:tc>
        <w:tc>
          <w:tcPr>
            <w:tcW w:w="1513" w:type="dxa"/>
            <w:noWrap w:val="0"/>
            <w:vAlign w:val="top"/>
          </w:tcPr>
          <w:p>
            <w:pPr>
              <w:spacing w:line="560" w:lineRule="exact"/>
              <w:jc w:val="center"/>
              <w:rPr>
                <w:rFonts w:hint="eastAsia" w:ascii="仿宋_GB2312" w:hAnsi="仿宋_GB2312" w:eastAsia="仿宋_GB2312" w:cs="仿宋_GB2312"/>
                <w:b w:val="0"/>
                <w:bCs w:val="0"/>
                <w:color w:val="auto"/>
                <w:sz w:val="24"/>
                <w:szCs w:val="24"/>
              </w:rPr>
            </w:pPr>
          </w:p>
        </w:tc>
        <w:tc>
          <w:tcPr>
            <w:tcW w:w="2783" w:type="dxa"/>
            <w:gridSpan w:val="2"/>
            <w:vMerge w:val="restart"/>
            <w:noWrap w:val="0"/>
            <w:vAlign w:val="top"/>
          </w:tcPr>
          <w:p>
            <w:pPr>
              <w:spacing w:line="560" w:lineRule="exact"/>
              <w:jc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lang w:val="en-US" w:eastAsia="zh-CN"/>
              </w:rPr>
              <w:t>所在市场单元</w:t>
            </w:r>
          </w:p>
        </w:tc>
        <w:tc>
          <w:tcPr>
            <w:tcW w:w="1872" w:type="dxa"/>
            <w:vMerge w:val="restart"/>
            <w:noWrap w:val="0"/>
            <w:vAlign w:val="top"/>
          </w:tcPr>
          <w:p>
            <w:pPr>
              <w:spacing w:line="560" w:lineRule="exact"/>
              <w:rPr>
                <w:rFonts w:hint="eastAsia" w:ascii="仿宋_GB2312" w:hAnsi="仿宋_GB2312" w:eastAsia="仿宋_GB2312" w:cs="仿宋_GB2312"/>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354" w:type="dxa"/>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备用电话</w:t>
            </w:r>
          </w:p>
        </w:tc>
        <w:tc>
          <w:tcPr>
            <w:tcW w:w="1513" w:type="dxa"/>
            <w:noWrap w:val="0"/>
            <w:vAlign w:val="top"/>
          </w:tcPr>
          <w:p>
            <w:pPr>
              <w:spacing w:line="560" w:lineRule="exact"/>
              <w:jc w:val="center"/>
              <w:rPr>
                <w:rFonts w:hint="eastAsia" w:ascii="仿宋_GB2312" w:hAnsi="仿宋_GB2312" w:eastAsia="仿宋_GB2312" w:cs="仿宋_GB2312"/>
                <w:b w:val="0"/>
                <w:bCs w:val="0"/>
                <w:color w:val="auto"/>
                <w:sz w:val="24"/>
                <w:szCs w:val="24"/>
              </w:rPr>
            </w:pPr>
          </w:p>
        </w:tc>
        <w:tc>
          <w:tcPr>
            <w:tcW w:w="2783" w:type="dxa"/>
            <w:gridSpan w:val="2"/>
            <w:vMerge w:val="continue"/>
            <w:noWrap w:val="0"/>
            <w:vAlign w:val="top"/>
          </w:tcPr>
          <w:p>
            <w:pPr>
              <w:spacing w:line="560" w:lineRule="exact"/>
              <w:jc w:val="center"/>
              <w:rPr>
                <w:rFonts w:hint="eastAsia" w:ascii="仿宋_GB2312" w:hAnsi="仿宋_GB2312" w:eastAsia="仿宋_GB2312" w:cs="仿宋_GB2312"/>
                <w:b w:val="0"/>
                <w:bCs w:val="0"/>
                <w:color w:val="auto"/>
                <w:sz w:val="24"/>
                <w:szCs w:val="24"/>
                <w:lang w:val="en-US" w:eastAsia="zh-CN"/>
              </w:rPr>
            </w:pPr>
          </w:p>
        </w:tc>
        <w:tc>
          <w:tcPr>
            <w:tcW w:w="1872" w:type="dxa"/>
            <w:vMerge w:val="continue"/>
            <w:noWrap w:val="0"/>
            <w:vAlign w:val="top"/>
          </w:tcPr>
          <w:p>
            <w:pPr>
              <w:spacing w:line="560" w:lineRule="exact"/>
              <w:rPr>
                <w:rFonts w:hint="eastAsia" w:ascii="仿宋_GB2312" w:hAnsi="仿宋_GB2312" w:eastAsia="仿宋_GB2312" w:cs="仿宋_GB2312"/>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4" w:type="dxa"/>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eastAsia="zh-CN"/>
              </w:rPr>
              <w:t>申请时间</w:t>
            </w:r>
          </w:p>
        </w:tc>
        <w:tc>
          <w:tcPr>
            <w:tcW w:w="1513" w:type="dxa"/>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p>
        </w:tc>
        <w:tc>
          <w:tcPr>
            <w:tcW w:w="2783" w:type="dxa"/>
            <w:gridSpan w:val="2"/>
            <w:noWrap w:val="0"/>
            <w:vAlign w:val="top"/>
          </w:tcPr>
          <w:p>
            <w:pPr>
              <w:spacing w:line="560" w:lineRule="exact"/>
              <w:jc w:val="center"/>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val="en-US" w:eastAsia="zh-CN"/>
              </w:rPr>
              <w:t>排队轮候号</w:t>
            </w:r>
          </w:p>
        </w:tc>
        <w:tc>
          <w:tcPr>
            <w:tcW w:w="1872" w:type="dxa"/>
            <w:noWrap w:val="0"/>
            <w:vAlign w:val="top"/>
          </w:tcPr>
          <w:p>
            <w:pPr>
              <w:spacing w:line="560" w:lineRule="exact"/>
              <w:rPr>
                <w:rFonts w:hint="eastAsia" w:ascii="仿宋_GB2312" w:hAnsi="仿宋_GB2312" w:eastAsia="仿宋_GB2312" w:cs="仿宋_GB2312"/>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0" w:type="dxa"/>
            <w:gridSpan w:val="4"/>
            <w:noWrap w:val="0"/>
            <w:vAlign w:val="center"/>
          </w:tcPr>
          <w:p>
            <w:pPr>
              <w:spacing w:line="560" w:lineRule="exact"/>
              <w:jc w:val="center"/>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color w:val="auto"/>
                <w:sz w:val="24"/>
                <w:szCs w:val="24"/>
                <w:lang w:val="en-US" w:eastAsia="zh-CN"/>
              </w:rPr>
              <w:t>是否自愿申请参加排队轮候</w:t>
            </w:r>
          </w:p>
        </w:tc>
        <w:tc>
          <w:tcPr>
            <w:tcW w:w="1872" w:type="dxa"/>
            <w:noWrap w:val="0"/>
            <w:vAlign w:val="top"/>
          </w:tcPr>
          <w:p>
            <w:pPr>
              <w:spacing w:line="560" w:lineRule="exac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是</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8522" w:type="dxa"/>
            <w:gridSpan w:val="5"/>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申请人承诺：</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本人已认真阅读并遵守《尼勒克县烟草制品零售点合理布局规划》《尼勒克县烟草制品零售点轮候管理办法》，申请烟草专卖零售许可证排队轮候，如在轮候过程中信息发生变化或计划放弃轮候，将及时告知所属辖区烟草专卖局，并接受和遵守以下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8522" w:type="dxa"/>
            <w:gridSpan w:val="5"/>
            <w:noWrap w:val="0"/>
            <w:vAlign w:val="top"/>
          </w:tcPr>
          <w:p>
            <w:pPr>
              <w:keepNext w:val="0"/>
              <w:keepLines w:val="0"/>
              <w:pageBreakBefore w:val="0"/>
              <w:widowControl w:val="0"/>
              <w:kinsoku/>
              <w:wordWrap/>
              <w:overflowPunct/>
              <w:topLinePunct w:val="0"/>
              <w:autoSpaceDE/>
              <w:autoSpaceDN/>
              <w:bidi w:val="0"/>
              <w:adjustRightInd/>
              <w:snapToGrid/>
              <w:spacing w:line="500" w:lineRule="exact"/>
              <w:ind w:left="1680" w:hanging="1440" w:hangingChars="6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排队轮候期间，申请人出现下列情形的，则该排队轮候失效：</w:t>
            </w:r>
          </w:p>
          <w:p>
            <w:pPr>
              <w:keepNext w:val="0"/>
              <w:keepLines w:val="0"/>
              <w:pageBreakBefore w:val="0"/>
              <w:widowControl w:val="0"/>
              <w:kinsoku/>
              <w:wordWrap/>
              <w:overflowPunct/>
              <w:topLinePunct w:val="0"/>
              <w:autoSpaceDE/>
              <w:autoSpaceDN/>
              <w:bidi w:val="0"/>
              <w:adjustRightInd/>
              <w:snapToGrid/>
              <w:spacing w:line="500" w:lineRule="exact"/>
              <w:ind w:left="1519" w:leftChars="266" w:hanging="960" w:hangingChars="4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（一）主动放弃排队轮候权利的；</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（二）排队轮候到号后，逾期五个工作日</w:t>
            </w:r>
            <w:r>
              <w:rPr>
                <w:rFonts w:hint="eastAsia" w:ascii="仿宋_GB2312" w:hAnsi="仿宋_GB2312" w:eastAsia="仿宋_GB2312" w:cs="仿宋_GB2312"/>
                <w:color w:val="auto"/>
                <w:sz w:val="24"/>
                <w:szCs w:val="24"/>
                <w:lang w:val="en" w:eastAsia="zh-CN"/>
              </w:rPr>
              <w:t>内</w:t>
            </w:r>
            <w:r>
              <w:rPr>
                <w:rFonts w:hint="eastAsia" w:ascii="仿宋_GB2312" w:hAnsi="仿宋_GB2312" w:eastAsia="仿宋_GB2312" w:cs="仿宋_GB2312"/>
                <w:color w:val="auto"/>
                <w:sz w:val="24"/>
                <w:szCs w:val="24"/>
                <w:lang w:val="en-US" w:eastAsia="zh-CN"/>
              </w:rPr>
              <w:t>未提出新办申请或按照申请人提供的联系方式无法联系通知到的；</w:t>
            </w:r>
          </w:p>
          <w:p>
            <w:pPr>
              <w:keepNext w:val="0"/>
              <w:keepLines w:val="0"/>
              <w:pageBreakBefore w:val="0"/>
              <w:widowControl w:val="0"/>
              <w:kinsoku/>
              <w:wordWrap/>
              <w:overflowPunct/>
              <w:topLinePunct w:val="0"/>
              <w:autoSpaceDE/>
              <w:autoSpaceDN/>
              <w:bidi w:val="0"/>
              <w:adjustRightInd/>
              <w:snapToGrid/>
              <w:spacing w:line="500" w:lineRule="exact"/>
              <w:ind w:left="1519" w:leftChars="266" w:hanging="960" w:hangingChars="4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（三）经营地址发生变化的；</w:t>
            </w:r>
          </w:p>
          <w:p>
            <w:pPr>
              <w:keepNext w:val="0"/>
              <w:keepLines w:val="0"/>
              <w:pageBreakBefore w:val="0"/>
              <w:widowControl w:val="0"/>
              <w:kinsoku/>
              <w:wordWrap/>
              <w:overflowPunct/>
              <w:topLinePunct w:val="0"/>
              <w:autoSpaceDE/>
              <w:autoSpaceDN/>
              <w:bidi w:val="0"/>
              <w:adjustRightInd/>
              <w:snapToGrid/>
              <w:spacing w:line="500" w:lineRule="exact"/>
              <w:ind w:left="1519" w:leftChars="266" w:hanging="960" w:hangingChars="4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（四）经营主体发生变化的；</w:t>
            </w:r>
          </w:p>
          <w:p>
            <w:pPr>
              <w:keepNext w:val="0"/>
              <w:keepLines w:val="0"/>
              <w:pageBreakBefore w:val="0"/>
              <w:widowControl w:val="0"/>
              <w:kinsoku/>
              <w:wordWrap/>
              <w:overflowPunct/>
              <w:topLinePunct w:val="0"/>
              <w:autoSpaceDE/>
              <w:autoSpaceDN/>
              <w:bidi w:val="0"/>
              <w:adjustRightInd/>
              <w:snapToGrid/>
              <w:spacing w:line="500" w:lineRule="exact"/>
              <w:ind w:left="1519" w:leftChars="266" w:hanging="960" w:hangingChars="4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（五）被市场监督管理部门吊销或注销营业执照；</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（六）擅自从事烟草专卖品生产经营活动受到行政处罚或刑事处罚的；</w:t>
            </w:r>
          </w:p>
          <w:p>
            <w:pPr>
              <w:keepNext w:val="0"/>
              <w:keepLines w:val="0"/>
              <w:pageBreakBefore w:val="0"/>
              <w:widowControl w:val="0"/>
              <w:kinsoku/>
              <w:wordWrap/>
              <w:overflowPunct/>
              <w:topLinePunct w:val="0"/>
              <w:autoSpaceDE/>
              <w:autoSpaceDN/>
              <w:bidi w:val="0"/>
              <w:adjustRightInd/>
              <w:snapToGrid/>
              <w:spacing w:line="500" w:lineRule="exact"/>
              <w:ind w:left="1519" w:leftChars="266" w:hanging="960" w:hangingChars="4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（七）因轮候申请人原因导致轮候资格失效的其他情形。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522" w:type="dxa"/>
            <w:gridSpan w:val="5"/>
            <w:noWrap w:val="0"/>
            <w:vAlign w:val="top"/>
          </w:tcPr>
          <w:p>
            <w:pPr>
              <w:keepNext w:val="0"/>
              <w:keepLines w:val="0"/>
              <w:pageBreakBefore w:val="0"/>
              <w:widowControl w:val="0"/>
              <w:kinsoku/>
              <w:wordWrap/>
              <w:overflowPunct/>
              <w:topLinePunct w:val="0"/>
              <w:autoSpaceDE/>
              <w:autoSpaceDN/>
              <w:bidi w:val="0"/>
              <w:adjustRightInd/>
              <w:snapToGrid/>
              <w:spacing w:line="500" w:lineRule="exact"/>
              <w:ind w:left="1680" w:hanging="1440" w:hangingChars="6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排队轮候期间，申请人出现下列情形的，申请时应提供新的申请资料：</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企业名称、个体工商户名称、法定代表人或其他组织负责人、经营者姓名以及经营地址名称等登记事项发生改变；</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企业类型发生改变但经营主体未变化的；</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（三）个体工商户（家庭经营）的，经营者在家庭成员间变化的；</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（四）原申请人死亡或丧失行为能力的，其直系亲属在原申请经营地址继续提出申请的。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522" w:type="dxa"/>
            <w:gridSpan w:val="5"/>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申请人应知：</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申请人可在新烟政务通查询市场单元</w:t>
            </w:r>
            <w:r>
              <w:rPr>
                <w:rFonts w:hint="eastAsia" w:ascii="仿宋_GB2312" w:hAnsi="仿宋_GB2312" w:eastAsia="仿宋_GB2312" w:cs="仿宋_GB2312"/>
                <w:color w:val="auto"/>
                <w:sz w:val="24"/>
                <w:szCs w:val="24"/>
                <w:lang w:val="en" w:eastAsia="zh-CN"/>
              </w:rPr>
              <w:t>容量上限</w:t>
            </w:r>
            <w:r>
              <w:rPr>
                <w:rFonts w:hint="eastAsia" w:ascii="仿宋_GB2312" w:hAnsi="仿宋_GB2312" w:eastAsia="仿宋_GB2312" w:cs="仿宋_GB2312"/>
                <w:color w:val="auto"/>
                <w:sz w:val="24"/>
                <w:szCs w:val="24"/>
                <w:lang w:val="en-US" w:eastAsia="zh-CN"/>
              </w:rPr>
              <w:t>和排队轮候情况，当符合办证条件时，发证机关按照轮候顺序告知排队到号的申请人，提交新办申请；</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轮候申请资料与实际申请资料应当保持一致，轮候顺序不得调换或转让；</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申请人在市场单元内的排序以“全国统一专卖监管平台（省级端）”系统中接收到的申请时间为准，具体时间精确到时分秒；</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排队轮候时长由所在市场单元容量情况决定，无法预测具体等待时间；</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排队轮候到号不等同于获得烟草专卖零售许可证，能否获证以到号受理申请后依法审批的实际情况决定。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4261" w:type="dxa"/>
            <w:gridSpan w:val="3"/>
            <w:noWrap w:val="0"/>
            <w:vAlign w:val="top"/>
          </w:tcPr>
          <w:p>
            <w:pPr>
              <w:spacing w:line="560" w:lineRule="exac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申请人（签名）</w:t>
            </w:r>
            <w:r>
              <w:rPr>
                <w:rFonts w:hint="eastAsia" w:ascii="仿宋_GB2312" w:hAnsi="仿宋_GB2312" w:eastAsia="仿宋_GB2312" w:cs="仿宋_GB2312"/>
                <w:color w:val="auto"/>
                <w:sz w:val="24"/>
                <w:szCs w:val="24"/>
              </w:rPr>
              <w:t>：</w:t>
            </w:r>
          </w:p>
        </w:tc>
        <w:tc>
          <w:tcPr>
            <w:tcW w:w="4261" w:type="dxa"/>
            <w:gridSpan w:val="2"/>
            <w:noWrap w:val="0"/>
            <w:vAlign w:val="top"/>
          </w:tcPr>
          <w:p>
            <w:pPr>
              <w:spacing w:line="560" w:lineRule="exac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专卖执法人员</w:t>
            </w:r>
            <w:r>
              <w:rPr>
                <w:rFonts w:hint="eastAsia" w:ascii="仿宋_GB2312" w:hAnsi="仿宋_GB2312" w:eastAsia="仿宋_GB2312" w:cs="仿宋_GB2312"/>
                <w:color w:val="auto"/>
                <w:sz w:val="24"/>
                <w:szCs w:val="24"/>
                <w:lang w:eastAsia="zh-CN"/>
              </w:rPr>
              <w:t>（签名）</w:t>
            </w:r>
            <w:r>
              <w:rPr>
                <w:rFonts w:hint="eastAsia" w:ascii="仿宋_GB2312" w:hAnsi="仿宋_GB2312" w:eastAsia="仿宋_GB2312" w:cs="仿宋_GB2312"/>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2" w:type="dxa"/>
            <w:gridSpan w:val="5"/>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color w:val="auto"/>
                <w:sz w:val="24"/>
                <w:szCs w:val="24"/>
                <w:lang w:eastAsia="zh-CN"/>
              </w:rPr>
            </w:pPr>
            <w:r>
              <w:rPr>
                <w:rFonts w:hint="eastAsia" w:ascii="仿宋_GB2312" w:hAnsi="仿宋_GB2312" w:eastAsia="仿宋_GB2312" w:cs="仿宋_GB2312"/>
                <w:color w:val="auto"/>
                <w:sz w:val="24"/>
                <w:szCs w:val="24"/>
                <w:lang w:val="en-US" w:eastAsia="zh-CN"/>
              </w:rPr>
              <w:t>备注：</w:t>
            </w:r>
            <w:r>
              <w:rPr>
                <w:rFonts w:hint="eastAsia" w:ascii="仿宋_GB2312" w:hAnsi="仿宋_GB2312" w:eastAsia="仿宋_GB2312" w:cs="仿宋_GB2312"/>
                <w:b w:val="0"/>
                <w:color w:val="auto"/>
                <w:sz w:val="24"/>
                <w:szCs w:val="24"/>
                <w:lang w:eastAsia="zh-CN"/>
              </w:rPr>
              <w:t>本申请表一式两份，排队申请人和发证机关各执一份。</w:t>
            </w:r>
          </w:p>
          <w:p>
            <w:pPr>
              <w:spacing w:line="560" w:lineRule="exact"/>
              <w:rPr>
                <w:rFonts w:hint="default" w:ascii="仿宋_GB2312" w:hAnsi="仿宋_GB2312" w:eastAsia="仿宋_GB2312" w:cs="仿宋_GB2312"/>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2" w:type="dxa"/>
            <w:gridSpan w:val="5"/>
            <w:noWrap w:val="0"/>
            <w:vAlign w:val="top"/>
          </w:tcPr>
          <w:p>
            <w:pPr>
              <w:spacing w:line="560" w:lineRule="exac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失效原因(详细写明失效时间、因何原因造成轮候失效)： </w:t>
            </w:r>
          </w:p>
          <w:p>
            <w:pPr>
              <w:spacing w:line="560" w:lineRule="exact"/>
              <w:ind w:firstLine="3840" w:firstLineChars="16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专卖执法人员</w:t>
            </w:r>
            <w:r>
              <w:rPr>
                <w:rFonts w:hint="eastAsia" w:ascii="仿宋_GB2312" w:hAnsi="仿宋_GB2312" w:eastAsia="仿宋_GB2312" w:cs="仿宋_GB2312"/>
                <w:color w:val="auto"/>
                <w:sz w:val="24"/>
                <w:szCs w:val="24"/>
                <w:lang w:eastAsia="zh-CN"/>
              </w:rPr>
              <w:t>（签名）</w:t>
            </w:r>
            <w:r>
              <w:rPr>
                <w:rFonts w:hint="eastAsia" w:ascii="仿宋_GB2312" w:hAnsi="仿宋_GB2312" w:eastAsia="仿宋_GB2312" w:cs="仿宋_GB2312"/>
                <w:color w:val="auto"/>
                <w:sz w:val="24"/>
                <w:szCs w:val="24"/>
              </w:rPr>
              <w:t>：</w:t>
            </w:r>
          </w:p>
          <w:p>
            <w:pPr>
              <w:spacing w:line="560" w:lineRule="exact"/>
              <w:ind w:firstLine="3840" w:firstLineChars="160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eastAsia="zh-CN"/>
              </w:rPr>
              <w:t>日期：</w:t>
            </w:r>
          </w:p>
        </w:tc>
      </w:tr>
    </w:tbl>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2B40C6"/>
    <w:multiLevelType w:val="singleLevel"/>
    <w:tmpl w:val="FE2B40C6"/>
    <w:lvl w:ilvl="0" w:tentative="0">
      <w:start w:val="1"/>
      <w:numFmt w:val="chineseCounting"/>
      <w:suff w:val="nothing"/>
      <w:lvlText w:val="（%1）"/>
      <w:lvlJc w:val="left"/>
      <w:rPr>
        <w:rFonts w:hint="eastAsia"/>
      </w:rPr>
    </w:lvl>
  </w:abstractNum>
  <w:abstractNum w:abstractNumId="1">
    <w:nsid w:val="745202F5"/>
    <w:multiLevelType w:val="singleLevel"/>
    <w:tmpl w:val="745202F5"/>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kYTU2NjBiNWM1YmE1ZTE4YjRlMTFlNzkxOTk2MmQifQ=="/>
  </w:docVars>
  <w:rsids>
    <w:rsidRoot w:val="20FA62C3"/>
    <w:rsid w:val="0AFF4D2A"/>
    <w:rsid w:val="107F2B6D"/>
    <w:rsid w:val="149F1FC1"/>
    <w:rsid w:val="17C243B8"/>
    <w:rsid w:val="1AF74F28"/>
    <w:rsid w:val="1BAFA50C"/>
    <w:rsid w:val="1BE0016A"/>
    <w:rsid w:val="1F3B03AF"/>
    <w:rsid w:val="1FD77F1C"/>
    <w:rsid w:val="20FA62C3"/>
    <w:rsid w:val="230A465E"/>
    <w:rsid w:val="2D410C84"/>
    <w:rsid w:val="37CD6F18"/>
    <w:rsid w:val="39DFD605"/>
    <w:rsid w:val="3A092B2A"/>
    <w:rsid w:val="3EDC5F39"/>
    <w:rsid w:val="3FE94CA1"/>
    <w:rsid w:val="3FF4B353"/>
    <w:rsid w:val="415C411C"/>
    <w:rsid w:val="41792343"/>
    <w:rsid w:val="4A5A11AF"/>
    <w:rsid w:val="4AE922E8"/>
    <w:rsid w:val="4D626381"/>
    <w:rsid w:val="527ECCF7"/>
    <w:rsid w:val="540521B8"/>
    <w:rsid w:val="572551E4"/>
    <w:rsid w:val="57D7C3BF"/>
    <w:rsid w:val="5A1D18CC"/>
    <w:rsid w:val="5A282157"/>
    <w:rsid w:val="5D9157B8"/>
    <w:rsid w:val="5EC363D5"/>
    <w:rsid w:val="5EEB2D64"/>
    <w:rsid w:val="5F3F0D81"/>
    <w:rsid w:val="5F9B377A"/>
    <w:rsid w:val="5FC3D3E2"/>
    <w:rsid w:val="5FF76514"/>
    <w:rsid w:val="65CD33E5"/>
    <w:rsid w:val="65EE47FE"/>
    <w:rsid w:val="6F743FC6"/>
    <w:rsid w:val="70025A76"/>
    <w:rsid w:val="71FF61B7"/>
    <w:rsid w:val="746D4F54"/>
    <w:rsid w:val="755D614A"/>
    <w:rsid w:val="76012A5F"/>
    <w:rsid w:val="76762F7C"/>
    <w:rsid w:val="76DFB06B"/>
    <w:rsid w:val="7A401675"/>
    <w:rsid w:val="7EDD6508"/>
    <w:rsid w:val="7F7F753C"/>
    <w:rsid w:val="7F88EF39"/>
    <w:rsid w:val="9EBDBC35"/>
    <w:rsid w:val="9EFF3D9B"/>
    <w:rsid w:val="AFF97C90"/>
    <w:rsid w:val="B7FB6FB5"/>
    <w:rsid w:val="BAF76340"/>
    <w:rsid w:val="CAF61B09"/>
    <w:rsid w:val="CBFC7C64"/>
    <w:rsid w:val="CEDFCB7E"/>
    <w:rsid w:val="D72FCCE3"/>
    <w:rsid w:val="DAEB384A"/>
    <w:rsid w:val="DDF74377"/>
    <w:rsid w:val="EEDDCBB4"/>
    <w:rsid w:val="EFEE803E"/>
    <w:rsid w:val="F5BF5422"/>
    <w:rsid w:val="F7BFDB31"/>
    <w:rsid w:val="F7D71CE5"/>
    <w:rsid w:val="FE6FB6D4"/>
    <w:rsid w:val="FEBB232E"/>
    <w:rsid w:val="FFEE4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1151</Words>
  <Characters>1161</Characters>
  <Lines>0</Lines>
  <Paragraphs>0</Paragraphs>
  <TotalTime>17</TotalTime>
  <ScaleCrop>false</ScaleCrop>
  <LinksUpToDate>false</LinksUpToDate>
  <CharactersWithSpaces>1175</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2026-03-06T11:57:00Z</dcterms:created>
  <dc:creator>HASEE</dc:creator>
  <cp:lastModifiedBy>kylin</cp:lastModifiedBy>
  <dcterms:modified xsi:type="dcterms:W3CDTF">2026-09-18T12:52:55Z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32CFBE12068AF97302E7696A5FDF6FEE</vt:lpwstr>
  </property>
  <property fmtid="{D5CDD505-2E9C-101B-9397-08002B2CF9AE}" pid="4" name="KSOTemplateDocerSaveRecord">
    <vt:lpwstr>eyJoZGlkIjoiNzEyNjNjZGY1N2EwYWZlY2FlYWU1MmRiNzYwZDczOGEiLCJ1c2VySWQiOiI0MjQxNzQ4ODUifQ==</vt:lpwstr>
  </property>
</Properties>
</file>