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A34" w:rsidRDefault="004959A4">
      <w:pPr>
        <w:pStyle w:val="1"/>
        <w:widowControl/>
        <w:shd w:val="clear" w:color="auto" w:fill="FFFFFF"/>
        <w:spacing w:beforeAutospacing="0" w:afterAutospacing="0" w:line="900" w:lineRule="atLeast"/>
        <w:jc w:val="center"/>
        <w:rPr>
          <w:rFonts w:ascii="黑体" w:eastAsia="黑体" w:hAnsi="黑体" w:cs="黑体" w:hint="default"/>
          <w:color w:val="000000" w:themeColor="text1"/>
          <w:sz w:val="36"/>
          <w:szCs w:val="36"/>
          <w:shd w:val="clear" w:color="auto" w:fill="FFFFFF"/>
        </w:rPr>
      </w:pPr>
      <w:bookmarkStart w:id="0" w:name="OLE_LINK4"/>
      <w:bookmarkStart w:id="1" w:name="OLE_LINK2"/>
      <w:bookmarkStart w:id="2" w:name="OLE_LINK1"/>
      <w:bookmarkStart w:id="3" w:name="OLE_LINK5"/>
      <w:r w:rsidRPr="00736A34">
        <w:rPr>
          <w:rFonts w:ascii="黑体" w:eastAsia="黑体" w:hAnsi="黑体" w:cs="黑体"/>
          <w:color w:val="000000" w:themeColor="text1"/>
          <w:sz w:val="36"/>
          <w:szCs w:val="36"/>
          <w:shd w:val="clear" w:color="auto" w:fill="FFFFFF"/>
        </w:rPr>
        <w:t>关于《</w:t>
      </w:r>
      <w:bookmarkStart w:id="4" w:name="OLE_LINK3"/>
      <w:r w:rsidRPr="00736A34">
        <w:rPr>
          <w:rFonts w:ascii="黑体" w:eastAsia="黑体" w:hAnsi="黑体" w:cs="黑体"/>
          <w:color w:val="000000" w:themeColor="text1"/>
          <w:sz w:val="36"/>
          <w:szCs w:val="36"/>
          <w:shd w:val="clear" w:color="auto" w:fill="FFFFFF"/>
        </w:rPr>
        <w:t>尼勒克县被征地农民参加基本养老保险</w:t>
      </w:r>
    </w:p>
    <w:p w:rsidR="00A14A50" w:rsidRPr="00736A34" w:rsidRDefault="004959A4">
      <w:pPr>
        <w:pStyle w:val="1"/>
        <w:widowControl/>
        <w:shd w:val="clear" w:color="auto" w:fill="FFFFFF"/>
        <w:spacing w:beforeAutospacing="0" w:afterAutospacing="0" w:line="900" w:lineRule="atLeast"/>
        <w:jc w:val="center"/>
        <w:rPr>
          <w:rFonts w:ascii="黑体" w:eastAsia="黑体" w:hAnsi="黑体" w:cs="黑体" w:hint="default"/>
          <w:color w:val="000000" w:themeColor="text1"/>
          <w:sz w:val="36"/>
          <w:szCs w:val="36"/>
          <w:shd w:val="clear" w:color="auto" w:fill="FFFFFF"/>
        </w:rPr>
      </w:pPr>
      <w:r w:rsidRPr="00736A34">
        <w:rPr>
          <w:rFonts w:ascii="黑体" w:eastAsia="黑体" w:hAnsi="黑体" w:cs="黑体"/>
          <w:color w:val="000000" w:themeColor="text1"/>
          <w:sz w:val="36"/>
          <w:szCs w:val="36"/>
          <w:shd w:val="clear" w:color="auto" w:fill="FFFFFF"/>
        </w:rPr>
        <w:t>实施办法</w:t>
      </w:r>
      <w:bookmarkEnd w:id="4"/>
      <w:r w:rsidRPr="00736A34">
        <w:rPr>
          <w:rFonts w:ascii="黑体" w:eastAsia="黑体" w:hAnsi="黑体" w:cs="黑体"/>
          <w:color w:val="000000" w:themeColor="text1"/>
          <w:sz w:val="36"/>
          <w:szCs w:val="36"/>
          <w:shd w:val="clear" w:color="auto" w:fill="FFFFFF"/>
        </w:rPr>
        <w:t>》的政策解读</w:t>
      </w:r>
    </w:p>
    <w:bookmarkEnd w:id="0"/>
    <w:p w:rsidR="00A14A50" w:rsidRDefault="00A14A50">
      <w:pPr>
        <w:rPr>
          <w:sz w:val="44"/>
          <w:szCs w:val="44"/>
        </w:rPr>
      </w:pPr>
    </w:p>
    <w:p w:rsidR="00A14A50" w:rsidRDefault="004959A4" w:rsidP="00736A34">
      <w:pPr>
        <w:spacing w:line="560" w:lineRule="exact"/>
        <w:ind w:firstLineChars="200" w:firstLine="643"/>
        <w:jc w:val="left"/>
        <w:rPr>
          <w:rFonts w:ascii="宋体" w:eastAsia="宋体" w:hAnsi="宋体" w:cs="宋体"/>
          <w:b/>
          <w:bCs/>
          <w:color w:val="000000"/>
          <w:sz w:val="32"/>
          <w:szCs w:val="32"/>
          <w:shd w:val="clear" w:color="auto" w:fill="FFFFFF"/>
        </w:rPr>
      </w:pPr>
      <w:bookmarkStart w:id="5" w:name="OLE_LINK8"/>
      <w:bookmarkEnd w:id="1"/>
      <w:r>
        <w:rPr>
          <w:rFonts w:ascii="宋体" w:eastAsia="宋体" w:hAnsi="宋体" w:cs="宋体" w:hint="eastAsia"/>
          <w:b/>
          <w:bCs/>
          <w:color w:val="000000"/>
          <w:sz w:val="32"/>
          <w:szCs w:val="32"/>
          <w:shd w:val="clear" w:color="auto" w:fill="FFFFFF"/>
        </w:rPr>
        <w:t xml:space="preserve">一、政策出台背景与制定必要性 </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sz w:val="32"/>
          <w:szCs w:val="32"/>
          <w:shd w:val="clear" w:color="auto" w:fill="FFFFFF"/>
        </w:rPr>
        <w:t>为切实解决我县被征地农民长远生计和养老保障问题，依法将</w:t>
      </w:r>
      <w:r>
        <w:rPr>
          <w:rFonts w:ascii="宋体" w:eastAsia="宋体" w:hAnsi="宋体" w:cs="宋体" w:hint="eastAsia"/>
          <w:color w:val="000000" w:themeColor="text1"/>
          <w:sz w:val="32"/>
          <w:szCs w:val="32"/>
          <w:shd w:val="clear" w:color="auto" w:fill="FFFFFF"/>
        </w:rPr>
        <w:t>被征地农民纳入现行基本养老保险制度体系，紧扣铸牢中华民族共同体意识主线，保障被征地农民合法权益。2026年8月3日，尼勒克县人民政府第9次常务会议审议通过《尼勒克县被征地农民参加基本养老保险实施办法》（以下简称《实施办法》）。</w:t>
      </w:r>
      <w:bookmarkStart w:id="6" w:name="_GoBack"/>
      <w:bookmarkEnd w:id="6"/>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参照自治区被征地农民养老保险相关政策要求，结合尼勒克县征地工作实际、农牧民生产生活现状，县人社局牵头，联合县自然资源局、农业农村局、财政局、审计局、公安局等多部门开展调研摸排、书面征求意见、公开向社会征集民意，经合法性审查、</w:t>
      </w:r>
      <w:r w:rsidR="007666BD" w:rsidRPr="007666BD">
        <w:rPr>
          <w:rFonts w:ascii="宋体" w:eastAsia="宋体" w:hAnsi="宋体" w:cs="宋体" w:hint="eastAsia"/>
          <w:color w:val="000000" w:themeColor="text1"/>
          <w:sz w:val="32"/>
          <w:szCs w:val="32"/>
          <w:shd w:val="clear" w:color="auto" w:fill="FFFFFF"/>
        </w:rPr>
        <w:t>县政府常务会议</w:t>
      </w:r>
      <w:r>
        <w:rPr>
          <w:rFonts w:ascii="宋体" w:eastAsia="宋体" w:hAnsi="宋体" w:cs="宋体" w:hint="eastAsia"/>
          <w:color w:val="000000" w:themeColor="text1"/>
          <w:sz w:val="32"/>
          <w:szCs w:val="32"/>
          <w:shd w:val="clear" w:color="auto" w:fill="FFFFFF"/>
        </w:rPr>
        <w:t>审议通过后印发实施。《实施办法》明确被征地农民参保条件、补贴标准及办理流程，构建起资格认定、补贴核算、资金监管、待遇落实全链条工作机制，保障符合条件的被征地农民及时、公平享受基本养老保险待遇，实现“当前生活有改善、长远生计有保障”，助力县域社会稳定，促进各民族共享发展成果。</w:t>
      </w:r>
    </w:p>
    <w:bookmarkEnd w:id="5"/>
    <w:p w:rsidR="00A14A50" w:rsidRDefault="004959A4" w:rsidP="00736A34">
      <w:pPr>
        <w:pStyle w:val="a4"/>
        <w:widowControl/>
        <w:shd w:val="clear" w:color="auto" w:fill="FFFFFF"/>
        <w:spacing w:beforeAutospacing="0" w:afterAutospacing="0" w:line="560" w:lineRule="exact"/>
        <w:ind w:firstLineChars="200" w:firstLine="643"/>
        <w:rPr>
          <w:rFonts w:ascii="宋体" w:eastAsia="宋体" w:hAnsi="宋体" w:cs="宋体"/>
          <w:b/>
          <w:bCs/>
          <w:color w:val="000000" w:themeColor="text1"/>
          <w:sz w:val="32"/>
          <w:szCs w:val="32"/>
        </w:rPr>
      </w:pPr>
      <w:r>
        <w:rPr>
          <w:rFonts w:ascii="宋体" w:eastAsia="宋体" w:hAnsi="宋体" w:cs="宋体" w:hint="eastAsia"/>
          <w:b/>
          <w:bCs/>
          <w:color w:val="000000" w:themeColor="text1"/>
          <w:sz w:val="32"/>
          <w:szCs w:val="32"/>
          <w:shd w:val="clear" w:color="auto" w:fill="FFFFFF"/>
        </w:rPr>
        <w:t>二、政策</w:t>
      </w:r>
      <w:r w:rsidR="003F22CD" w:rsidRPr="003F22CD">
        <w:rPr>
          <w:rFonts w:ascii="宋体" w:eastAsia="宋体" w:hAnsi="宋体" w:cs="宋体" w:hint="eastAsia"/>
          <w:b/>
          <w:bCs/>
          <w:color w:val="000000" w:themeColor="text1"/>
          <w:sz w:val="32"/>
          <w:szCs w:val="32"/>
          <w:shd w:val="clear" w:color="auto" w:fill="FFFFFF"/>
        </w:rPr>
        <w:t>制定法律</w:t>
      </w:r>
      <w:r>
        <w:rPr>
          <w:rFonts w:ascii="宋体" w:eastAsia="宋体" w:hAnsi="宋体" w:cs="宋体" w:hint="eastAsia"/>
          <w:b/>
          <w:bCs/>
          <w:color w:val="000000" w:themeColor="text1"/>
          <w:sz w:val="32"/>
          <w:szCs w:val="32"/>
          <w:shd w:val="clear" w:color="auto" w:fill="FFFFFF"/>
        </w:rPr>
        <w:t>依据</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1.法律依据：《中华人民共和国社会保险法》、《中华人民共和国土地管理法》及国务院有关规定。</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rPr>
      </w:pPr>
      <w:r>
        <w:rPr>
          <w:rFonts w:ascii="宋体" w:eastAsia="宋体" w:hAnsi="宋体" w:cs="宋体" w:hint="eastAsia"/>
          <w:color w:val="000000" w:themeColor="text1"/>
          <w:sz w:val="32"/>
          <w:szCs w:val="32"/>
          <w:shd w:val="clear" w:color="auto" w:fill="FFFFFF"/>
        </w:rPr>
        <w:lastRenderedPageBreak/>
        <w:t>2.上级政策依据：新疆维吾尔自治区《关于完善自治区被征地农民参加基本养老保险有关政策的通知》（新人社发〔2017〕86号）、新疆维吾尔自治区《关于印发自治区被征地农民参加基本养老保险实施细则的通知》（新人社发〔2018〕14号）。</w:t>
      </w:r>
    </w:p>
    <w:p w:rsidR="00A14A50" w:rsidRDefault="004959A4" w:rsidP="00736A34">
      <w:pPr>
        <w:pStyle w:val="a4"/>
        <w:widowControl/>
        <w:shd w:val="clear" w:color="auto" w:fill="FFFFFF"/>
        <w:spacing w:beforeAutospacing="0" w:afterAutospacing="0" w:line="560" w:lineRule="exact"/>
        <w:ind w:firstLineChars="200" w:firstLine="643"/>
        <w:rPr>
          <w:rFonts w:ascii="宋体" w:eastAsia="宋体" w:hAnsi="宋体" w:cs="宋体"/>
          <w:b/>
          <w:bCs/>
          <w:color w:val="000000" w:themeColor="text1"/>
          <w:sz w:val="32"/>
          <w:szCs w:val="32"/>
          <w:shd w:val="clear" w:color="auto" w:fill="FFFFFF"/>
        </w:rPr>
      </w:pPr>
      <w:r>
        <w:rPr>
          <w:rFonts w:ascii="宋体" w:eastAsia="宋体" w:hAnsi="宋体" w:cs="宋体" w:hint="eastAsia"/>
          <w:b/>
          <w:bCs/>
          <w:color w:val="000000" w:themeColor="text1"/>
          <w:sz w:val="32"/>
          <w:szCs w:val="32"/>
          <w:shd w:val="clear" w:color="auto" w:fill="FFFFFF"/>
        </w:rPr>
        <w:t>三、《实施办法》总体框架与核心设计思路</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实施办法共七章，分别为总则，保障对象及条件，参保补贴标准，保障办法，参保补贴费用的筹集、预存和管理，政府和单位职责，附则。整体遵循三大核心原则，也是政策设计的底层逻辑：</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1.坚持制度衔接，平稳过渡：依法将被征地农民纳入现行基本养老保险制度，不再单独建立被征地农民养老保险政策，实现新旧政策平稳过渡。</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2.坚持“谁用地谁负责”与“先保后征”：足额安排并预存养老保险费用，给予新增被征地农民一次性参保补贴，确保补贴资金落到实处。</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3.坚持自愿选择，待遇一致：符合条件的被征地农民可根据自身实际情况，自愿选择参加城乡居民基本养老保险或按灵活就业人员身份参加职工基本养老保险，且两种制度的补贴标准保持一致。</w:t>
      </w:r>
    </w:p>
    <w:p w:rsidR="00A14A50" w:rsidRDefault="004959A4" w:rsidP="00736A34">
      <w:pPr>
        <w:pStyle w:val="a4"/>
        <w:widowControl/>
        <w:shd w:val="clear" w:color="auto" w:fill="FFFFFF"/>
        <w:spacing w:beforeAutospacing="0" w:afterAutospacing="0" w:line="560" w:lineRule="exact"/>
        <w:ind w:firstLineChars="200" w:firstLine="643"/>
        <w:rPr>
          <w:rFonts w:ascii="宋体" w:eastAsia="宋体" w:hAnsi="宋体" w:cs="宋体"/>
          <w:b/>
          <w:bCs/>
          <w:color w:val="000000" w:themeColor="text1"/>
          <w:sz w:val="32"/>
          <w:szCs w:val="32"/>
          <w:shd w:val="clear" w:color="auto" w:fill="FFFFFF"/>
        </w:rPr>
      </w:pPr>
      <w:bookmarkStart w:id="7" w:name="OLE_LINK7"/>
      <w:r>
        <w:rPr>
          <w:rFonts w:ascii="宋体" w:eastAsia="宋体" w:hAnsi="宋体" w:cs="宋体" w:hint="eastAsia"/>
          <w:b/>
          <w:bCs/>
          <w:color w:val="000000" w:themeColor="text1"/>
          <w:sz w:val="32"/>
          <w:szCs w:val="32"/>
          <w:shd w:val="clear" w:color="auto" w:fill="FFFFFF"/>
        </w:rPr>
        <w:t>四、关键条款深度解读</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（一）适用对象：明确纳入保障范围的人员界定</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享受被征地农民养老保险一次性参保补贴，新增被征地农民须同时满足三项条件：</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lastRenderedPageBreak/>
        <w:t>1.本人所属农村集体土地被县级以上人民政府依法征收；</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2.被征地时为持有《农村土地承包经营权证》家庭内登记在册人口，年龄满16周岁以上（在校学生除外）；</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3.被征地时户籍登记在征地所属辖区（已死亡人员、户籍已迁出人员不纳入保障范围）。</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排除情形：土地违法征收、未履行法定征地程序涉及的人员；重复享受被征地农民养老保险补贴人员；不符合土地承包确权相关规定人员，不予纳入参保补贴范围。</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（二）失地比例分级，差异化设置参保补贴档次</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政策统一发放一次性参保补贴，补贴计算公式：征地前各年度自治区在岗职工平均工资之和×补贴档次×20%。</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按照家庭土地征收面积占土地确权承包总面积比例，实行分级梯度补贴，不搞“一刀切”：</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1.家庭失地比例≥50%：补贴档次区间60%—100%；</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2.家庭失地比例＜50%：补贴档次区间20%—50%。</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各乡镇结合被征地农民实际失地情况，在对应区间内合理确定每户具体补贴档次，档案留存核算依据。</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（三）补贴年限核算规则，明确资金记账方式</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补贴年限按照被征地农民实际从事农业生产年限折算，核算时剔除在校就读、服刑期间、已经参加职工养老保险的时段；折算标准：每满2年农业生产年限折算1年补贴年限，补贴年限最高上限15年。</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1.选择参加城乡居民基本养老保险：补贴资金全额划入</w:t>
      </w:r>
      <w:r>
        <w:rPr>
          <w:rFonts w:ascii="宋体" w:eastAsia="宋体" w:hAnsi="宋体" w:cs="宋体" w:hint="eastAsia"/>
          <w:color w:val="000000" w:themeColor="text1"/>
          <w:sz w:val="32"/>
          <w:szCs w:val="32"/>
          <w:shd w:val="clear" w:color="auto" w:fill="FFFFFF"/>
        </w:rPr>
        <w:lastRenderedPageBreak/>
        <w:t>养老保险个人账户；</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2.选择以灵活就业人员身份参加职工基本养老保险：补贴资金按政策规定分别划入个人账户与统筹基金，养老保险缴费总额超出补贴部分，由个人自行承担。</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（四）参保自愿原则与制度转换说明</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符合条件人员拥有参保选择权，两种参保渠道可二选一：</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1.城乡居民基本养老保险：缴费负担相对较低，适合收入偏低群体；</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2.灵活就业人员职工基本养老保险：达到法定退休条件后可享受职工养老待遇。</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（五）资金筹集、预存和管理</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严格执行“先保后征”，新增被征地农民的参保补贴费用，从县人民政府批准提高的安置补助费和土地补偿费中统一安排，两项费用尚不足以支付的，由县人民政府从国有土地有偿使用收入中解决。建立被征地农民参保补贴费用预存费用预存制度。被征地农民参保补贴费用，并作为预存资金，存入县财政局开设（指定）的预存专户。被征地农民的参保补贴费用只用于被征地农民参加基本养老保险一次性补贴，征地已获批准但被征地农民不愿参保的，参保补贴费用预存资金由预存专户全部返还至项目建设单位或县人民政府指定的账户，不得发放于被征地农民或者挪用。</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（六）申报、审核、资金发放流程（全程公开、规范可监督）</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lastRenderedPageBreak/>
        <w:t>落实基层公示、多级审核机制，流程闭环管理：</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1.申报主体：由征地所在村（社区）收集被征地农民申请材料，报送乡镇人民政府初审；</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2.必备材料：土地征收相关批复文件、农村土地承包经营权证、户口本、身份证、土地确权证明、失地面积认定材料、参保申请表；</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3.多级审核：村（社区）摸排登记→乡镇初审公示→县自然资源局、农业农村局核实土地信息→县人社局复核参保资格、核算补贴金额→县财政局落实资金→县审计局负责实施全过程跟踪审计；资格及补贴核算结果在村、乡镇两级公示，公示期不少于7个工作日，同步公布异议反馈渠道；</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4.资金拨付：公示无异议后，按规定将补贴资金划转至对应养老保险基金账户；</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5.异议处理：公示期内群众可书面提出异议，相关主管部门在10个工作日内开展核查，并反馈核查结果。</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（七）待遇领取与资格动态管理</w:t>
      </w:r>
    </w:p>
    <w:p w:rsidR="00A14A50" w:rsidRDefault="004959A4">
      <w:pPr>
        <w:spacing w:line="560" w:lineRule="exact"/>
        <w:ind w:firstLineChars="200" w:firstLine="640"/>
        <w:jc w:val="left"/>
        <w:rPr>
          <w:rFonts w:ascii="宋体" w:eastAsia="宋体" w:hAnsi="宋体" w:cs="宋体"/>
          <w:color w:val="000000" w:themeColor="text1"/>
          <w:sz w:val="32"/>
          <w:szCs w:val="32"/>
          <w:shd w:val="clear" w:color="auto" w:fill="FFFFFF"/>
        </w:rPr>
      </w:pPr>
      <w:r>
        <w:rPr>
          <w:rFonts w:ascii="宋体" w:eastAsia="宋体" w:hAnsi="宋体" w:cs="宋体" w:hint="eastAsia"/>
          <w:color w:val="000000" w:themeColor="text1"/>
          <w:sz w:val="32"/>
          <w:szCs w:val="32"/>
          <w:shd w:val="clear" w:color="auto" w:fill="FFFFFF"/>
        </w:rPr>
        <w:t>参保人员达到法定养老保险待遇领取条件后，按照所参加养老保险制度现行政策计发养老金。县人社局、乡镇常态化开展领取资格核查，杜绝冒领养老金行为。</w:t>
      </w:r>
    </w:p>
    <w:p w:rsidR="00A14A50" w:rsidRDefault="004959A4" w:rsidP="00736A34">
      <w:pPr>
        <w:spacing w:line="560" w:lineRule="exact"/>
        <w:ind w:firstLineChars="200" w:firstLine="643"/>
        <w:jc w:val="left"/>
        <w:rPr>
          <w:rFonts w:ascii="宋体" w:eastAsia="宋体" w:hAnsi="宋体" w:cs="宋体"/>
          <w:b/>
          <w:bCs/>
          <w:color w:val="000000" w:themeColor="text1"/>
          <w:sz w:val="32"/>
          <w:szCs w:val="32"/>
          <w:shd w:val="clear" w:color="auto" w:fill="FFFFFF"/>
        </w:rPr>
      </w:pPr>
      <w:r>
        <w:rPr>
          <w:rFonts w:ascii="宋体" w:eastAsia="宋体" w:hAnsi="宋体" w:cs="宋体" w:hint="eastAsia"/>
          <w:b/>
          <w:bCs/>
          <w:color w:val="000000" w:themeColor="text1"/>
          <w:sz w:val="32"/>
          <w:szCs w:val="32"/>
          <w:shd w:val="clear" w:color="auto" w:fill="FFFFFF"/>
        </w:rPr>
        <w:t>五、政策实施预期成效</w:t>
      </w:r>
    </w:p>
    <w:p w:rsidR="00A14A50" w:rsidRDefault="004959A4">
      <w:pPr>
        <w:spacing w:line="560" w:lineRule="exact"/>
        <w:ind w:firstLineChars="200" w:firstLine="640"/>
        <w:jc w:val="left"/>
        <w:rPr>
          <w:rFonts w:ascii="宋体" w:eastAsia="宋体" w:hAnsi="宋体" w:cs="宋体"/>
          <w:color w:val="000000"/>
          <w:sz w:val="32"/>
          <w:szCs w:val="32"/>
          <w:shd w:val="clear" w:color="auto" w:fill="FFFFFF"/>
        </w:rPr>
      </w:pPr>
      <w:r>
        <w:rPr>
          <w:rFonts w:ascii="宋体" w:eastAsia="宋体" w:hAnsi="宋体" w:cs="宋体" w:hint="eastAsia"/>
          <w:color w:val="000000" w:themeColor="text1"/>
          <w:sz w:val="32"/>
          <w:szCs w:val="32"/>
          <w:shd w:val="clear" w:color="auto" w:fill="FFFFFF"/>
        </w:rPr>
        <w:t>1.民生保障层面：补齐被征地农民养老保障短板，为失去土地的农牧民建立稳定养老预期，真正实现“失地不失保障”，有效化解群众后顾之忧，切实落实老有所</w:t>
      </w:r>
      <w:r>
        <w:rPr>
          <w:rFonts w:ascii="宋体" w:eastAsia="宋体" w:hAnsi="宋体" w:cs="宋体" w:hint="eastAsia"/>
          <w:color w:val="000000"/>
          <w:sz w:val="32"/>
          <w:szCs w:val="32"/>
          <w:shd w:val="clear" w:color="auto" w:fill="FFFFFF"/>
        </w:rPr>
        <w:t>养；</w:t>
      </w:r>
    </w:p>
    <w:p w:rsidR="00A14A50" w:rsidRDefault="004959A4">
      <w:pPr>
        <w:spacing w:line="560" w:lineRule="exact"/>
        <w:ind w:firstLineChars="200" w:firstLine="640"/>
        <w:jc w:val="left"/>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2.基层治理层面：统一全县被征地农民养老保险补贴标</w:t>
      </w:r>
      <w:r>
        <w:rPr>
          <w:rFonts w:ascii="宋体" w:eastAsia="宋体" w:hAnsi="宋体" w:cs="宋体" w:hint="eastAsia"/>
          <w:color w:val="000000"/>
          <w:sz w:val="32"/>
          <w:szCs w:val="32"/>
          <w:shd w:val="clear" w:color="auto" w:fill="FFFFFF"/>
        </w:rPr>
        <w:lastRenderedPageBreak/>
        <w:t>准，规范征地社会保障配套工作，减少征地矛盾纠纷，维护县域社会稳定；</w:t>
      </w:r>
    </w:p>
    <w:p w:rsidR="00A14A50" w:rsidRDefault="004959A4">
      <w:pPr>
        <w:spacing w:line="560" w:lineRule="exact"/>
        <w:ind w:firstLineChars="200" w:firstLine="640"/>
        <w:jc w:val="left"/>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3.城乡发展层面：保障重大项目征地工作有序推进，助力尼勒克县城镇化、乡村重点项目建设；持续保障各族农牧民切身利益，促进各民族共享发展成果，以民生保障铸牢中华民族共同体意识；</w:t>
      </w:r>
    </w:p>
    <w:p w:rsidR="00A14A50" w:rsidRDefault="004959A4">
      <w:pPr>
        <w:spacing w:line="560" w:lineRule="exact"/>
        <w:ind w:firstLineChars="200" w:firstLine="640"/>
        <w:jc w:val="left"/>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4.政务管理层面：明确部门职责边界，规范资格认定、补贴核算、资金拨付全链条流程，强化财政资金监管，提升惠民资金使用规范化、透明化水平。</w:t>
      </w:r>
    </w:p>
    <w:p w:rsidR="00A14A50" w:rsidRDefault="004959A4" w:rsidP="00736A34">
      <w:pPr>
        <w:spacing w:line="560" w:lineRule="exact"/>
        <w:ind w:firstLineChars="200" w:firstLine="643"/>
        <w:jc w:val="left"/>
        <w:rPr>
          <w:rFonts w:ascii="宋体" w:eastAsia="宋体" w:hAnsi="宋体" w:cs="宋体"/>
          <w:b/>
          <w:bCs/>
          <w:color w:val="000000"/>
          <w:sz w:val="32"/>
          <w:szCs w:val="32"/>
          <w:shd w:val="clear" w:color="auto" w:fill="FFFFFF"/>
        </w:rPr>
      </w:pPr>
      <w:r>
        <w:rPr>
          <w:rFonts w:ascii="宋体" w:eastAsia="宋体" w:hAnsi="宋体" w:cs="宋体" w:hint="eastAsia"/>
          <w:b/>
          <w:bCs/>
          <w:color w:val="000000"/>
          <w:sz w:val="32"/>
          <w:szCs w:val="32"/>
          <w:shd w:val="clear" w:color="auto" w:fill="FFFFFF"/>
        </w:rPr>
        <w:t>六、新旧政策衔接与实施时间说明</w:t>
      </w:r>
    </w:p>
    <w:p w:rsidR="00A14A50" w:rsidRDefault="004959A4">
      <w:pPr>
        <w:spacing w:line="560" w:lineRule="exact"/>
        <w:ind w:firstLineChars="200" w:firstLine="640"/>
        <w:jc w:val="left"/>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1.实施时间：本办法自正式印发之日起施行；</w:t>
      </w:r>
    </w:p>
    <w:p w:rsidR="00A14A50" w:rsidRDefault="004959A4">
      <w:pPr>
        <w:spacing w:line="560" w:lineRule="exact"/>
        <w:ind w:firstLineChars="200" w:firstLine="640"/>
        <w:jc w:val="left"/>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2.衔接规则：办法实施后依法完成征地、符合条件的新增被征地农民，按照本办法标准执行；办法实施前已经完成征地、已落实养老保险补贴人员，不再追溯调整；</w:t>
      </w:r>
    </w:p>
    <w:p w:rsidR="00A14A50" w:rsidRDefault="004959A4">
      <w:pPr>
        <w:spacing w:line="560" w:lineRule="exact"/>
        <w:ind w:firstLineChars="200" w:firstLine="640"/>
        <w:jc w:val="left"/>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3.动态调整机制：后续结合国家、自治区政策更新、县域经济发展水平、社保相关政策调整，适时评估修订补贴标准、实施细则，修订过程广泛征求乡镇、群众意见，保障政策适配尼勒克县发展实际。</w:t>
      </w:r>
    </w:p>
    <w:p w:rsidR="00A14A50" w:rsidRDefault="004959A4" w:rsidP="00736A34">
      <w:pPr>
        <w:pStyle w:val="a4"/>
        <w:widowControl/>
        <w:shd w:val="clear" w:color="auto" w:fill="FFFFFF"/>
        <w:spacing w:beforeAutospacing="0" w:afterAutospacing="0" w:line="560" w:lineRule="exact"/>
        <w:ind w:firstLineChars="200" w:firstLine="643"/>
        <w:rPr>
          <w:rFonts w:ascii="宋体" w:eastAsia="宋体" w:hAnsi="宋体" w:cs="宋体"/>
          <w:b/>
          <w:bCs/>
          <w:color w:val="000000"/>
          <w:sz w:val="32"/>
          <w:szCs w:val="32"/>
        </w:rPr>
      </w:pPr>
      <w:r>
        <w:rPr>
          <w:rFonts w:ascii="宋体" w:eastAsia="宋体" w:hAnsi="宋体" w:cs="宋体" w:hint="eastAsia"/>
          <w:b/>
          <w:bCs/>
          <w:color w:val="000000"/>
          <w:sz w:val="32"/>
          <w:szCs w:val="32"/>
          <w:shd w:val="clear" w:color="auto" w:fill="FFFFFF"/>
        </w:rPr>
        <w:t>七、群众咨询渠道（政务公开便民服务）</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1.线下咨询：尼勒克县人力资源和社会保障局、各乡镇人民政府便民服务中心；</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2.线上渠道：尼勒克县人民政府官网县长信箱、政务服务咨询热线；</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rPr>
      </w:pPr>
      <w:r>
        <w:rPr>
          <w:rFonts w:ascii="宋体" w:eastAsia="宋体" w:hAnsi="宋体" w:cs="宋体" w:hint="eastAsia"/>
          <w:color w:val="000000"/>
          <w:sz w:val="32"/>
          <w:szCs w:val="32"/>
          <w:shd w:val="clear" w:color="auto" w:fill="FFFFFF"/>
        </w:rPr>
        <w:lastRenderedPageBreak/>
        <w:t>3.咨询受理时限：工作日正常受理政策咨询，一般性政策问题7个工作日内予以答复。</w:t>
      </w:r>
    </w:p>
    <w:p w:rsidR="00A14A50" w:rsidRDefault="004959A4" w:rsidP="00736A34">
      <w:pPr>
        <w:pStyle w:val="a4"/>
        <w:widowControl/>
        <w:shd w:val="clear" w:color="auto" w:fill="FFFFFF"/>
        <w:spacing w:beforeAutospacing="0" w:afterAutospacing="0" w:line="560" w:lineRule="exact"/>
        <w:ind w:firstLineChars="200" w:firstLine="643"/>
        <w:rPr>
          <w:rFonts w:ascii="宋体" w:eastAsia="宋体" w:hAnsi="宋体" w:cs="宋体"/>
          <w:b/>
          <w:bCs/>
          <w:color w:val="000000"/>
          <w:sz w:val="32"/>
          <w:szCs w:val="32"/>
        </w:rPr>
      </w:pPr>
      <w:r>
        <w:rPr>
          <w:rFonts w:ascii="宋体" w:eastAsia="宋体" w:hAnsi="宋体" w:cs="宋体" w:hint="eastAsia"/>
          <w:b/>
          <w:bCs/>
          <w:color w:val="000000"/>
          <w:sz w:val="32"/>
          <w:szCs w:val="32"/>
          <w:shd w:val="clear" w:color="auto" w:fill="FFFFFF"/>
        </w:rPr>
        <w:t>八、附则补充说明</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1.本办法由尼勒克县人力资源和社会保障局会同县自然资源局、县农业农村局、县财政局负责解释；</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2.办法执行期间，国家、自治区出台新的被征地农民养老保险政策规定的，从其上位最新规定同步调整；</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3.被征地农民参保资格认定、补贴核算相关业务办理，不向群众收取任何申报、评审费用。</w:t>
      </w:r>
    </w:p>
    <w:p w:rsidR="00A14A50" w:rsidRDefault="00A14A50">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shd w:val="clear" w:color="auto" w:fill="FFFFFF"/>
        </w:rPr>
      </w:pP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 xml:space="preserve"> </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shd w:val="clear" w:color="auto" w:fill="FFFFFF"/>
        </w:rPr>
      </w:pPr>
      <w:r>
        <w:rPr>
          <w:rFonts w:ascii="宋体" w:eastAsia="宋体" w:hAnsi="宋体" w:cs="宋体" w:hint="eastAsia"/>
          <w:color w:val="000000"/>
          <w:sz w:val="32"/>
          <w:szCs w:val="32"/>
          <w:shd w:val="clear" w:color="auto" w:fill="FFFFFF"/>
        </w:rPr>
        <w:t>解读机关：尼勒克县人力资源和社会保障局</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rPr>
      </w:pPr>
      <w:r>
        <w:rPr>
          <w:rFonts w:ascii="宋体" w:eastAsia="宋体" w:hAnsi="宋体" w:cs="宋体" w:hint="eastAsia"/>
          <w:color w:val="000000"/>
          <w:sz w:val="32"/>
          <w:szCs w:val="32"/>
          <w:shd w:val="clear" w:color="auto" w:fill="FFFFFF"/>
        </w:rPr>
        <w:t>解读人：欧云格丽</w:t>
      </w:r>
    </w:p>
    <w:p w:rsidR="00A14A50" w:rsidRDefault="004959A4">
      <w:pPr>
        <w:pStyle w:val="a4"/>
        <w:widowControl/>
        <w:shd w:val="clear" w:color="auto" w:fill="FFFFFF"/>
        <w:spacing w:beforeAutospacing="0" w:afterAutospacing="0" w:line="560" w:lineRule="exact"/>
        <w:ind w:firstLineChars="200" w:firstLine="640"/>
        <w:rPr>
          <w:rFonts w:ascii="宋体" w:eastAsia="宋体" w:hAnsi="宋体" w:cs="宋体"/>
          <w:color w:val="000000"/>
          <w:sz w:val="32"/>
          <w:szCs w:val="32"/>
        </w:rPr>
      </w:pPr>
      <w:r>
        <w:rPr>
          <w:rFonts w:ascii="宋体" w:eastAsia="宋体" w:hAnsi="宋体" w:cs="宋体" w:hint="eastAsia"/>
          <w:color w:val="000000"/>
          <w:sz w:val="32"/>
          <w:szCs w:val="32"/>
          <w:shd w:val="clear" w:color="auto" w:fill="FFFFFF"/>
        </w:rPr>
        <w:t>联系电话：0999-4630983</w:t>
      </w:r>
    </w:p>
    <w:bookmarkEnd w:id="2"/>
    <w:bookmarkEnd w:id="3"/>
    <w:bookmarkEnd w:id="7"/>
    <w:p w:rsidR="00A14A50" w:rsidRDefault="00A14A50">
      <w:pPr>
        <w:spacing w:line="560" w:lineRule="exact"/>
        <w:ind w:firstLineChars="200" w:firstLine="640"/>
        <w:jc w:val="left"/>
        <w:rPr>
          <w:rFonts w:ascii="宋体" w:eastAsia="宋体" w:hAnsi="宋体" w:cs="宋体"/>
          <w:color w:val="000000"/>
          <w:sz w:val="32"/>
          <w:szCs w:val="32"/>
          <w:shd w:val="clear" w:color="auto" w:fill="FFFFFF"/>
        </w:rPr>
      </w:pPr>
    </w:p>
    <w:sectPr w:rsidR="00A14A50" w:rsidSect="00A14A5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D76" w:rsidRDefault="00D66D76" w:rsidP="00736A34">
      <w:r>
        <w:separator/>
      </w:r>
    </w:p>
  </w:endnote>
  <w:endnote w:type="continuationSeparator" w:id="0">
    <w:p w:rsidR="00D66D76" w:rsidRDefault="00D66D76" w:rsidP="00736A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D76" w:rsidRDefault="00D66D76" w:rsidP="00736A34">
      <w:r>
        <w:separator/>
      </w:r>
    </w:p>
  </w:footnote>
  <w:footnote w:type="continuationSeparator" w:id="0">
    <w:p w:rsidR="00D66D76" w:rsidRDefault="00D66D76" w:rsidP="00736A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A14A50"/>
    <w:rsid w:val="003F22CD"/>
    <w:rsid w:val="004959A4"/>
    <w:rsid w:val="00736A34"/>
    <w:rsid w:val="007666BD"/>
    <w:rsid w:val="007C4F42"/>
    <w:rsid w:val="00A14A50"/>
    <w:rsid w:val="00D66D76"/>
    <w:rsid w:val="0E045F9B"/>
    <w:rsid w:val="184A207C"/>
    <w:rsid w:val="1D721679"/>
    <w:rsid w:val="27C0622F"/>
    <w:rsid w:val="32CF5C7B"/>
    <w:rsid w:val="3A5608C8"/>
    <w:rsid w:val="4BA84070"/>
    <w:rsid w:val="505F1336"/>
    <w:rsid w:val="530377A2"/>
    <w:rsid w:val="53606F89"/>
    <w:rsid w:val="53E43DC2"/>
    <w:rsid w:val="6A415F28"/>
    <w:rsid w:val="6FE5188E"/>
    <w:rsid w:val="711F750E"/>
    <w:rsid w:val="74220F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A14A50"/>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A14A50"/>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rsid w:val="00A14A50"/>
    <w:pPr>
      <w:spacing w:before="100" w:beforeAutospacing="1"/>
      <w:ind w:left="0" w:firstLineChars="200" w:firstLine="420"/>
    </w:pPr>
    <w:rPr>
      <w:rFonts w:ascii="Times New Roman" w:hAnsi="Times New Roman" w:cs="Times New Roman"/>
    </w:rPr>
  </w:style>
  <w:style w:type="paragraph" w:styleId="a3">
    <w:name w:val="Body Text Indent"/>
    <w:basedOn w:val="a"/>
    <w:next w:val="2"/>
    <w:qFormat/>
    <w:rsid w:val="00A14A50"/>
    <w:pPr>
      <w:spacing w:after="120"/>
      <w:ind w:leftChars="200" w:left="200"/>
    </w:pPr>
  </w:style>
  <w:style w:type="paragraph" w:styleId="a4">
    <w:name w:val="Normal (Web)"/>
    <w:basedOn w:val="a"/>
    <w:qFormat/>
    <w:rsid w:val="00A14A50"/>
    <w:pPr>
      <w:spacing w:beforeAutospacing="1" w:afterAutospacing="1"/>
      <w:jc w:val="left"/>
    </w:pPr>
    <w:rPr>
      <w:rFonts w:cs="Times New Roman"/>
      <w:kern w:val="0"/>
      <w:sz w:val="24"/>
    </w:rPr>
  </w:style>
  <w:style w:type="character" w:styleId="a5">
    <w:name w:val="Emphasis"/>
    <w:basedOn w:val="a0"/>
    <w:qFormat/>
    <w:rsid w:val="00A14A50"/>
    <w:rPr>
      <w:i/>
    </w:rPr>
  </w:style>
  <w:style w:type="paragraph" w:styleId="a6">
    <w:name w:val="header"/>
    <w:basedOn w:val="a"/>
    <w:link w:val="Char"/>
    <w:rsid w:val="00736A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36A34"/>
    <w:rPr>
      <w:rFonts w:asciiTheme="minorHAnsi" w:eastAsiaTheme="minorEastAsia" w:hAnsiTheme="minorHAnsi" w:cstheme="minorBidi"/>
      <w:kern w:val="2"/>
      <w:sz w:val="18"/>
      <w:szCs w:val="18"/>
    </w:rPr>
  </w:style>
  <w:style w:type="paragraph" w:styleId="a7">
    <w:name w:val="footer"/>
    <w:basedOn w:val="a"/>
    <w:link w:val="Char0"/>
    <w:rsid w:val="00736A34"/>
    <w:pPr>
      <w:tabs>
        <w:tab w:val="center" w:pos="4153"/>
        <w:tab w:val="right" w:pos="8306"/>
      </w:tabs>
      <w:snapToGrid w:val="0"/>
      <w:jc w:val="left"/>
    </w:pPr>
    <w:rPr>
      <w:sz w:val="18"/>
      <w:szCs w:val="18"/>
    </w:rPr>
  </w:style>
  <w:style w:type="character" w:customStyle="1" w:styleId="Char0">
    <w:name w:val="页脚 Char"/>
    <w:basedOn w:val="a0"/>
    <w:link w:val="a7"/>
    <w:rsid w:val="00736A3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1629</Words>
  <Characters>1663</Characters>
  <Application>Microsoft Office Word</Application>
  <DocSecurity>0</DocSecurity>
  <Lines>83</Lines>
  <Paragraphs>65</Paragraphs>
  <ScaleCrop>false</ScaleCrop>
  <Company/>
  <LinksUpToDate>false</LinksUpToDate>
  <CharactersWithSpaces>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Administrator</cp:lastModifiedBy>
  <cp:revision>4</cp:revision>
  <dcterms:created xsi:type="dcterms:W3CDTF">2026-08-10T05:25:00Z</dcterms:created>
  <dcterms:modified xsi:type="dcterms:W3CDTF">2026-09-01T10:15:00Z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